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7B" w:rsidRPr="00EC540C" w:rsidRDefault="00C22F7B" w:rsidP="00DC2E88">
      <w:pPr>
        <w:pStyle w:val="BodyText"/>
        <w:rPr>
          <w:rFonts w:cs="Tahoma"/>
          <w:sz w:val="20"/>
        </w:rPr>
      </w:pPr>
    </w:p>
    <w:p w:rsidR="00C945B0" w:rsidRPr="00813647" w:rsidRDefault="00DC2E88" w:rsidP="00DC2E88">
      <w:pPr>
        <w:pStyle w:val="BodyText"/>
        <w:rPr>
          <w:rFonts w:cs="Tahoma"/>
          <w:b/>
          <w:sz w:val="20"/>
        </w:rPr>
      </w:pPr>
      <w:r w:rsidRPr="00813647">
        <w:rPr>
          <w:rFonts w:cs="Tahoma"/>
          <w:b/>
          <w:sz w:val="20"/>
        </w:rPr>
        <w:t>A. EXPLANATION NOTES</w:t>
      </w:r>
    </w:p>
    <w:p w:rsidR="00C945B0" w:rsidRPr="00813647" w:rsidRDefault="00C945B0">
      <w:pPr>
        <w:jc w:val="both"/>
        <w:rPr>
          <w:rFonts w:ascii="Tahoma" w:hAnsi="Tahoma" w:cs="Tahoma"/>
        </w:rPr>
      </w:pPr>
    </w:p>
    <w:p w:rsidR="00C945B0" w:rsidRPr="00813647" w:rsidRDefault="00C945B0">
      <w:pPr>
        <w:jc w:val="both"/>
        <w:rPr>
          <w:rFonts w:ascii="Tahoma" w:hAnsi="Tahoma" w:cs="Tahoma"/>
        </w:rPr>
      </w:pPr>
    </w:p>
    <w:p w:rsidR="00C945B0" w:rsidRPr="00813647" w:rsidRDefault="00C945B0">
      <w:pPr>
        <w:pStyle w:val="Heading4"/>
        <w:rPr>
          <w:rFonts w:cs="Tahoma"/>
          <w:sz w:val="20"/>
        </w:rPr>
      </w:pPr>
      <w:r w:rsidRPr="00813647">
        <w:rPr>
          <w:rFonts w:cs="Tahoma"/>
          <w:sz w:val="20"/>
        </w:rPr>
        <w:t>A1.</w:t>
      </w:r>
      <w:r w:rsidRPr="00813647">
        <w:rPr>
          <w:rFonts w:cs="Tahoma"/>
          <w:sz w:val="20"/>
        </w:rPr>
        <w:tab/>
      </w:r>
      <w:r w:rsidR="00DC2E88" w:rsidRPr="00813647">
        <w:rPr>
          <w:rFonts w:cs="Tahoma"/>
          <w:sz w:val="20"/>
        </w:rPr>
        <w:t>Basis of Preparation</w:t>
      </w:r>
    </w:p>
    <w:p w:rsidR="007A45CF" w:rsidRPr="00813647" w:rsidRDefault="007A45CF" w:rsidP="007A45CF">
      <w:pPr>
        <w:autoSpaceDE w:val="0"/>
        <w:autoSpaceDN w:val="0"/>
        <w:adjustRightInd w:val="0"/>
        <w:rPr>
          <w:rFonts w:ascii="Tahoma" w:hAnsi="Tahoma" w:cs="Tahoma"/>
          <w:color w:val="000000"/>
          <w:lang w:eastAsia="zh-CN"/>
        </w:rPr>
      </w:pPr>
    </w:p>
    <w:p w:rsidR="00C945B0" w:rsidRPr="00813647" w:rsidRDefault="00DC2E88" w:rsidP="00DC2E88">
      <w:pPr>
        <w:ind w:left="720"/>
        <w:jc w:val="both"/>
        <w:rPr>
          <w:rFonts w:ascii="Tahoma" w:hAnsi="Tahoma" w:cs="Tahoma"/>
        </w:rPr>
      </w:pPr>
      <w:r w:rsidRPr="00813647">
        <w:rPr>
          <w:rFonts w:ascii="Tahoma" w:hAnsi="Tahoma" w:cs="Tahoma"/>
        </w:rPr>
        <w:t xml:space="preserve">The interim financial statements of the Group are unaudited and have been prepared under the same accounting policies and methods of computation as those used in the preparation of the most recent audited financial statements and comply with </w:t>
      </w:r>
      <w:r w:rsidR="00442636" w:rsidRPr="00813647">
        <w:rPr>
          <w:rFonts w:ascii="Tahoma" w:hAnsi="Tahoma" w:cs="Tahoma"/>
        </w:rPr>
        <w:t>M</w:t>
      </w:r>
      <w:r w:rsidRPr="00813647">
        <w:rPr>
          <w:rFonts w:ascii="Tahoma" w:hAnsi="Tahoma" w:cs="Tahoma"/>
        </w:rPr>
        <w:t>FRS 134 : Interim Financial Reporting and paragraph 9.22 of the</w:t>
      </w:r>
      <w:r w:rsidR="00AC3B0C" w:rsidRPr="00813647">
        <w:rPr>
          <w:rFonts w:ascii="Tahoma" w:hAnsi="Tahoma" w:cs="Tahoma"/>
        </w:rPr>
        <w:t xml:space="preserve"> Main Market</w:t>
      </w:r>
      <w:r w:rsidRPr="00813647">
        <w:rPr>
          <w:rFonts w:ascii="Tahoma" w:hAnsi="Tahoma" w:cs="Tahoma"/>
        </w:rPr>
        <w:t xml:space="preserve"> Listing Requirements of Bursa Malaysia Securities Berhad ( “Bursa Securities” ).</w:t>
      </w:r>
    </w:p>
    <w:p w:rsidR="00C945B0" w:rsidRPr="00813647" w:rsidRDefault="00DC2E88">
      <w:pPr>
        <w:jc w:val="both"/>
        <w:rPr>
          <w:rFonts w:ascii="Tahoma" w:hAnsi="Tahoma" w:cs="Tahoma"/>
        </w:rPr>
      </w:pPr>
      <w:r w:rsidRPr="00813647">
        <w:rPr>
          <w:rFonts w:ascii="Tahoma" w:hAnsi="Tahoma" w:cs="Tahoma"/>
        </w:rPr>
        <w:tab/>
      </w:r>
    </w:p>
    <w:p w:rsidR="00DC2E88" w:rsidRPr="00813647" w:rsidRDefault="00DC2E88" w:rsidP="00DC2E88">
      <w:pPr>
        <w:ind w:left="720"/>
        <w:jc w:val="both"/>
        <w:rPr>
          <w:rFonts w:ascii="Tahoma" w:hAnsi="Tahoma" w:cs="Tahoma"/>
        </w:rPr>
      </w:pPr>
      <w:r w:rsidRPr="00813647">
        <w:rPr>
          <w:rFonts w:ascii="Tahoma" w:hAnsi="Tahoma" w:cs="Tahoma"/>
        </w:rPr>
        <w:t xml:space="preserve">The interim financial statements should be read in conjunction with the audited financial statements for the </w:t>
      </w:r>
      <w:r w:rsidR="00CC6A20" w:rsidRPr="00813647">
        <w:rPr>
          <w:rFonts w:ascii="Tahoma" w:hAnsi="Tahoma" w:cs="Tahoma"/>
        </w:rPr>
        <w:t xml:space="preserve">financial </w:t>
      </w:r>
      <w:r w:rsidRPr="00813647">
        <w:rPr>
          <w:rFonts w:ascii="Tahoma" w:hAnsi="Tahoma" w:cs="Tahoma"/>
        </w:rPr>
        <w:t>year ended 31 July 20</w:t>
      </w:r>
      <w:r w:rsidR="009A433F" w:rsidRPr="00813647">
        <w:rPr>
          <w:rFonts w:ascii="Tahoma" w:hAnsi="Tahoma" w:cs="Tahoma"/>
        </w:rPr>
        <w:t>1</w:t>
      </w:r>
      <w:r w:rsidR="001D54AD" w:rsidRPr="00813647">
        <w:rPr>
          <w:rFonts w:ascii="Tahoma" w:hAnsi="Tahoma" w:cs="Tahoma"/>
        </w:rPr>
        <w:t>5</w:t>
      </w:r>
      <w:r w:rsidR="00A730D1" w:rsidRPr="00813647">
        <w:rPr>
          <w:rFonts w:ascii="Tahoma" w:hAnsi="Tahoma" w:cs="Tahoma"/>
        </w:rPr>
        <w:t>.</w:t>
      </w:r>
      <w:r w:rsidRPr="00813647">
        <w:rPr>
          <w:rFonts w:ascii="Tahoma" w:hAnsi="Tahoma" w:cs="Tahoma"/>
        </w:rPr>
        <w:t xml:space="preserve"> The explanatory notes attached to the interim financial statements provide an explanation of events and transactions that are significant to an understanding of the changes in the financial position and performance of the Group since the year ended 31 July 20</w:t>
      </w:r>
      <w:r w:rsidR="009A433F" w:rsidRPr="00813647">
        <w:rPr>
          <w:rFonts w:ascii="Tahoma" w:hAnsi="Tahoma" w:cs="Tahoma"/>
        </w:rPr>
        <w:t>1</w:t>
      </w:r>
      <w:r w:rsidR="00C77FAE" w:rsidRPr="00813647">
        <w:rPr>
          <w:rFonts w:ascii="Tahoma" w:hAnsi="Tahoma" w:cs="Tahoma"/>
        </w:rPr>
        <w:t>5</w:t>
      </w:r>
      <w:r w:rsidRPr="00813647">
        <w:rPr>
          <w:rFonts w:ascii="Tahoma" w:hAnsi="Tahoma" w:cs="Tahoma"/>
        </w:rPr>
        <w:t>.</w:t>
      </w:r>
    </w:p>
    <w:p w:rsidR="00A730D1" w:rsidRPr="00813647" w:rsidRDefault="00A730D1" w:rsidP="00DC2E88">
      <w:pPr>
        <w:ind w:left="720"/>
        <w:jc w:val="both"/>
        <w:rPr>
          <w:rFonts w:ascii="Tahoma" w:hAnsi="Tahoma" w:cs="Tahoma"/>
        </w:rPr>
      </w:pPr>
    </w:p>
    <w:p w:rsidR="00B4354D" w:rsidRPr="00813647" w:rsidRDefault="00B4354D" w:rsidP="00B4354D">
      <w:pPr>
        <w:tabs>
          <w:tab w:val="left" w:pos="-1440"/>
          <w:tab w:val="left" w:pos="-720"/>
          <w:tab w:val="left" w:pos="720"/>
          <w:tab w:val="left" w:pos="1421"/>
          <w:tab w:val="right" w:pos="9198"/>
        </w:tabs>
        <w:suppressAutoHyphens/>
        <w:spacing w:line="226" w:lineRule="auto"/>
        <w:ind w:left="720"/>
        <w:jc w:val="both"/>
        <w:rPr>
          <w:rFonts w:ascii="Tahoma" w:hAnsi="Tahoma" w:cs="Tahoma"/>
          <w:spacing w:val="-3"/>
        </w:rPr>
      </w:pPr>
      <w:r w:rsidRPr="00813647">
        <w:rPr>
          <w:rFonts w:ascii="Tahoma" w:hAnsi="Tahoma" w:cs="Tahoma"/>
          <w:spacing w:val="-3"/>
        </w:rPr>
        <w:t>The financial statements of the</w:t>
      </w:r>
      <w:r w:rsidRPr="00813647">
        <w:rPr>
          <w:rFonts w:ascii="Tahoma" w:hAnsi="Tahoma" w:cs="Tahoma"/>
        </w:rPr>
        <w:t xml:space="preserve"> Group</w:t>
      </w:r>
      <w:r w:rsidRPr="00813647">
        <w:rPr>
          <w:rFonts w:ascii="Tahoma" w:hAnsi="Tahoma" w:cs="Tahoma"/>
          <w:spacing w:val="-3"/>
        </w:rPr>
        <w:t xml:space="preserve"> are prepared under the historical cost convention and modified to include other bases of valuation as disclosed in other sections under significant accounting policies, and in compliance with MFRSs, International Financial Reporting Standards and the requirements of the Companies Act 1965 in Malaysia.</w:t>
      </w:r>
    </w:p>
    <w:p w:rsidR="00B4354D" w:rsidRPr="00813647" w:rsidRDefault="00B4354D" w:rsidP="00B4354D">
      <w:pPr>
        <w:tabs>
          <w:tab w:val="left" w:pos="-1440"/>
          <w:tab w:val="left" w:pos="-720"/>
          <w:tab w:val="left" w:pos="720"/>
          <w:tab w:val="left" w:pos="1421"/>
          <w:tab w:val="right" w:pos="9198"/>
        </w:tabs>
        <w:suppressAutoHyphens/>
        <w:spacing w:line="226" w:lineRule="auto"/>
        <w:ind w:left="720"/>
        <w:jc w:val="both"/>
        <w:rPr>
          <w:rFonts w:ascii="Tahoma" w:hAnsi="Tahoma" w:cs="Tahoma"/>
          <w:spacing w:val="-3"/>
        </w:rPr>
      </w:pPr>
    </w:p>
    <w:p w:rsidR="00A21586" w:rsidRPr="00813647" w:rsidRDefault="00A21586" w:rsidP="00A21586">
      <w:pPr>
        <w:autoSpaceDE w:val="0"/>
        <w:autoSpaceDN w:val="0"/>
        <w:adjustRightInd w:val="0"/>
        <w:ind w:left="720"/>
        <w:jc w:val="both"/>
        <w:rPr>
          <w:rFonts w:ascii="Tahoma" w:hAnsi="Tahoma" w:cs="Tahoma"/>
          <w:color w:val="000000"/>
          <w:lang w:eastAsia="zh-CN"/>
        </w:rPr>
      </w:pPr>
      <w:r w:rsidRPr="00813647">
        <w:rPr>
          <w:rFonts w:ascii="Tahoma" w:hAnsi="Tahoma" w:cs="Tahoma"/>
          <w:color w:val="000000"/>
          <w:lang w:eastAsia="zh-CN"/>
        </w:rPr>
        <w:t>The accounting policies and presentation adopted for this interim financial report are consistent with those adopted in the audited financial statements for the financial year ended 31 July 201</w:t>
      </w:r>
      <w:r w:rsidR="00C77FAE" w:rsidRPr="00813647">
        <w:rPr>
          <w:rFonts w:ascii="Tahoma" w:hAnsi="Tahoma" w:cs="Tahoma"/>
          <w:color w:val="000000"/>
          <w:lang w:eastAsia="zh-CN"/>
        </w:rPr>
        <w:t>5</w:t>
      </w:r>
      <w:r w:rsidRPr="00813647">
        <w:rPr>
          <w:rFonts w:ascii="Tahoma" w:hAnsi="Tahoma" w:cs="Tahoma"/>
          <w:color w:val="000000"/>
          <w:lang w:eastAsia="zh-CN"/>
        </w:rPr>
        <w:t>.</w:t>
      </w:r>
    </w:p>
    <w:p w:rsidR="00A21586" w:rsidRPr="00813647" w:rsidRDefault="00A21586" w:rsidP="006120E0">
      <w:pPr>
        <w:autoSpaceDE w:val="0"/>
        <w:autoSpaceDN w:val="0"/>
        <w:adjustRightInd w:val="0"/>
        <w:ind w:left="720"/>
        <w:jc w:val="both"/>
        <w:rPr>
          <w:rFonts w:ascii="Tahoma" w:hAnsi="Tahoma" w:cs="Tahoma"/>
          <w:color w:val="000000"/>
          <w:lang w:eastAsia="zh-CN"/>
        </w:rPr>
      </w:pPr>
    </w:p>
    <w:p w:rsidR="00702A61" w:rsidRPr="00813647" w:rsidRDefault="00702A61" w:rsidP="006120E0">
      <w:pPr>
        <w:tabs>
          <w:tab w:val="left" w:pos="1080"/>
        </w:tabs>
        <w:autoSpaceDE w:val="0"/>
        <w:autoSpaceDN w:val="0"/>
        <w:adjustRightInd w:val="0"/>
        <w:ind w:left="720"/>
        <w:jc w:val="both"/>
        <w:rPr>
          <w:rFonts w:ascii="Tahoma" w:hAnsi="Tahoma" w:cs="Tahoma"/>
        </w:rPr>
      </w:pPr>
    </w:p>
    <w:p w:rsidR="00C945B0" w:rsidRPr="00813647" w:rsidRDefault="008B4FC9" w:rsidP="00025AA2">
      <w:pPr>
        <w:pStyle w:val="Heading4"/>
        <w:rPr>
          <w:rFonts w:cs="Tahoma"/>
          <w:sz w:val="20"/>
        </w:rPr>
      </w:pPr>
      <w:r w:rsidRPr="00813647">
        <w:rPr>
          <w:rFonts w:cs="Tahoma"/>
          <w:sz w:val="20"/>
        </w:rPr>
        <w:t>A</w:t>
      </w:r>
      <w:r w:rsidR="00A730D1" w:rsidRPr="00813647">
        <w:rPr>
          <w:rFonts w:cs="Tahoma"/>
          <w:sz w:val="20"/>
        </w:rPr>
        <w:t>2</w:t>
      </w:r>
      <w:r w:rsidRPr="00813647">
        <w:rPr>
          <w:rFonts w:cs="Tahoma"/>
          <w:sz w:val="20"/>
        </w:rPr>
        <w:t>.</w:t>
      </w:r>
      <w:r w:rsidRPr="00813647">
        <w:rPr>
          <w:rFonts w:cs="Tahoma"/>
          <w:sz w:val="20"/>
        </w:rPr>
        <w:tab/>
      </w:r>
      <w:r w:rsidR="001F7077" w:rsidRPr="00813647">
        <w:rPr>
          <w:rFonts w:cs="Tahoma"/>
          <w:sz w:val="20"/>
        </w:rPr>
        <w:t xml:space="preserve">Qualified </w:t>
      </w:r>
      <w:r w:rsidR="00D07222">
        <w:rPr>
          <w:rFonts w:cs="Tahoma"/>
          <w:sz w:val="20"/>
        </w:rPr>
        <w:t>A</w:t>
      </w:r>
      <w:r w:rsidR="001F7077" w:rsidRPr="00813647">
        <w:rPr>
          <w:rFonts w:cs="Tahoma"/>
          <w:sz w:val="20"/>
        </w:rPr>
        <w:t xml:space="preserve">udit </w:t>
      </w:r>
      <w:r w:rsidR="00D07222">
        <w:rPr>
          <w:rFonts w:cs="Tahoma"/>
          <w:sz w:val="20"/>
        </w:rPr>
        <w:t>R</w:t>
      </w:r>
      <w:r w:rsidR="001F7077" w:rsidRPr="00813647">
        <w:rPr>
          <w:rFonts w:cs="Tahoma"/>
          <w:sz w:val="20"/>
        </w:rPr>
        <w:t>eport</w:t>
      </w:r>
    </w:p>
    <w:p w:rsidR="00C945B0" w:rsidRPr="00813647" w:rsidRDefault="00C945B0" w:rsidP="00025AA2">
      <w:pPr>
        <w:jc w:val="both"/>
        <w:rPr>
          <w:rFonts w:ascii="Tahoma" w:hAnsi="Tahoma" w:cs="Tahoma"/>
        </w:rPr>
      </w:pPr>
    </w:p>
    <w:p w:rsidR="00C945B0" w:rsidRPr="00813647" w:rsidRDefault="008B4FC9" w:rsidP="00025AA2">
      <w:pPr>
        <w:ind w:firstLine="720"/>
        <w:jc w:val="both"/>
        <w:rPr>
          <w:rFonts w:ascii="Tahoma" w:hAnsi="Tahoma" w:cs="Tahoma"/>
        </w:rPr>
      </w:pPr>
      <w:r w:rsidRPr="00813647">
        <w:rPr>
          <w:rFonts w:ascii="Tahoma" w:hAnsi="Tahoma" w:cs="Tahoma"/>
        </w:rPr>
        <w:t>The auditors’ report of the preceding annual financial statements was not qualified</w:t>
      </w:r>
      <w:r w:rsidR="00C945B0" w:rsidRPr="00813647">
        <w:rPr>
          <w:rFonts w:ascii="Tahoma" w:hAnsi="Tahoma" w:cs="Tahoma"/>
        </w:rPr>
        <w:t>.</w:t>
      </w:r>
    </w:p>
    <w:p w:rsidR="00EC336C" w:rsidRPr="00813647" w:rsidRDefault="00EC336C" w:rsidP="00A7467F">
      <w:pPr>
        <w:jc w:val="both"/>
        <w:rPr>
          <w:rFonts w:ascii="Tahoma" w:hAnsi="Tahoma" w:cs="Tahoma"/>
        </w:rPr>
      </w:pPr>
    </w:p>
    <w:p w:rsidR="0064552E" w:rsidRPr="00813647" w:rsidRDefault="0064552E" w:rsidP="00A7467F">
      <w:pPr>
        <w:jc w:val="both"/>
        <w:rPr>
          <w:rFonts w:ascii="Tahoma" w:hAnsi="Tahoma" w:cs="Tahoma"/>
        </w:rPr>
      </w:pPr>
    </w:p>
    <w:p w:rsidR="00C945B0" w:rsidRPr="00813647" w:rsidRDefault="00C945B0" w:rsidP="00025AA2">
      <w:pPr>
        <w:pStyle w:val="Heading4"/>
        <w:rPr>
          <w:rFonts w:cs="Tahoma"/>
          <w:sz w:val="20"/>
        </w:rPr>
      </w:pPr>
      <w:r w:rsidRPr="00813647">
        <w:rPr>
          <w:rFonts w:cs="Tahoma"/>
          <w:sz w:val="20"/>
        </w:rPr>
        <w:t>A</w:t>
      </w:r>
      <w:r w:rsidR="00A730D1" w:rsidRPr="00813647">
        <w:rPr>
          <w:rFonts w:cs="Tahoma"/>
          <w:sz w:val="20"/>
        </w:rPr>
        <w:t>3</w:t>
      </w:r>
      <w:r w:rsidRPr="00813647">
        <w:rPr>
          <w:rFonts w:cs="Tahoma"/>
          <w:sz w:val="20"/>
        </w:rPr>
        <w:t>.</w:t>
      </w:r>
      <w:r w:rsidRPr="00813647">
        <w:rPr>
          <w:rFonts w:cs="Tahoma"/>
          <w:sz w:val="20"/>
        </w:rPr>
        <w:tab/>
      </w:r>
      <w:r w:rsidR="001F7077" w:rsidRPr="00813647">
        <w:rPr>
          <w:rFonts w:cs="Tahoma"/>
          <w:sz w:val="20"/>
        </w:rPr>
        <w:t xml:space="preserve">Seasonal or </w:t>
      </w:r>
      <w:r w:rsidR="00D07222">
        <w:rPr>
          <w:rFonts w:cs="Tahoma"/>
          <w:sz w:val="20"/>
        </w:rPr>
        <w:t>C</w:t>
      </w:r>
      <w:r w:rsidR="001F7077" w:rsidRPr="00813647">
        <w:rPr>
          <w:rFonts w:cs="Tahoma"/>
          <w:sz w:val="20"/>
        </w:rPr>
        <w:t xml:space="preserve">yclical </w:t>
      </w:r>
      <w:r w:rsidR="00D07222">
        <w:rPr>
          <w:rFonts w:cs="Tahoma"/>
          <w:sz w:val="20"/>
        </w:rPr>
        <w:t>F</w:t>
      </w:r>
      <w:r w:rsidR="001F7077" w:rsidRPr="00813647">
        <w:rPr>
          <w:rFonts w:cs="Tahoma"/>
          <w:sz w:val="20"/>
        </w:rPr>
        <w:t>actors</w:t>
      </w:r>
    </w:p>
    <w:p w:rsidR="00C945B0" w:rsidRPr="00813647" w:rsidRDefault="00C945B0" w:rsidP="00025AA2">
      <w:pPr>
        <w:jc w:val="both"/>
        <w:rPr>
          <w:rFonts w:ascii="Tahoma" w:hAnsi="Tahoma" w:cs="Tahoma"/>
        </w:rPr>
      </w:pPr>
    </w:p>
    <w:p w:rsidR="00C945B0" w:rsidRPr="00813647" w:rsidRDefault="00A34370" w:rsidP="00025AA2">
      <w:pPr>
        <w:ind w:left="720"/>
        <w:jc w:val="both"/>
        <w:rPr>
          <w:rFonts w:ascii="Tahoma" w:hAnsi="Tahoma" w:cs="Tahoma"/>
        </w:rPr>
      </w:pPr>
      <w:r w:rsidRPr="00813647">
        <w:rPr>
          <w:rFonts w:ascii="Tahoma" w:hAnsi="Tahoma" w:cs="Tahoma"/>
        </w:rPr>
        <w:t>The principal business of the Group was not significantly affected by any significant seasonal or cyclical factors in the current quarter.</w:t>
      </w:r>
    </w:p>
    <w:p w:rsidR="00EC336C" w:rsidRPr="00813647" w:rsidRDefault="00EC336C" w:rsidP="00025AA2">
      <w:pPr>
        <w:jc w:val="both"/>
        <w:rPr>
          <w:rFonts w:ascii="Tahoma" w:hAnsi="Tahoma" w:cs="Tahoma"/>
        </w:rPr>
      </w:pPr>
    </w:p>
    <w:p w:rsidR="009F6BBE" w:rsidRPr="00813647" w:rsidRDefault="009F6BBE" w:rsidP="00025AA2">
      <w:pPr>
        <w:jc w:val="both"/>
        <w:rPr>
          <w:rFonts w:ascii="Tahoma" w:hAnsi="Tahoma" w:cs="Tahoma"/>
        </w:rPr>
      </w:pPr>
    </w:p>
    <w:p w:rsidR="00C945B0" w:rsidRPr="00813647" w:rsidRDefault="00C945B0" w:rsidP="00025AA2">
      <w:pPr>
        <w:pStyle w:val="Heading4"/>
        <w:rPr>
          <w:rFonts w:cs="Tahoma"/>
          <w:sz w:val="20"/>
        </w:rPr>
      </w:pPr>
      <w:r w:rsidRPr="00813647">
        <w:rPr>
          <w:rFonts w:cs="Tahoma"/>
          <w:sz w:val="20"/>
        </w:rPr>
        <w:t>A</w:t>
      </w:r>
      <w:r w:rsidR="00A730D1" w:rsidRPr="00813647">
        <w:rPr>
          <w:rFonts w:cs="Tahoma"/>
          <w:sz w:val="20"/>
        </w:rPr>
        <w:t>4</w:t>
      </w:r>
      <w:r w:rsidRPr="00813647">
        <w:rPr>
          <w:rFonts w:cs="Tahoma"/>
          <w:sz w:val="20"/>
        </w:rPr>
        <w:t>.</w:t>
      </w:r>
      <w:r w:rsidRPr="00813647">
        <w:rPr>
          <w:rFonts w:cs="Tahoma"/>
          <w:sz w:val="20"/>
        </w:rPr>
        <w:tab/>
      </w:r>
      <w:r w:rsidR="001F7077" w:rsidRPr="00813647">
        <w:rPr>
          <w:rFonts w:cs="Tahoma"/>
          <w:sz w:val="20"/>
        </w:rPr>
        <w:t xml:space="preserve">Unusual </w:t>
      </w:r>
      <w:r w:rsidR="00D07222">
        <w:rPr>
          <w:rFonts w:cs="Tahoma"/>
          <w:sz w:val="20"/>
        </w:rPr>
        <w:t>I</w:t>
      </w:r>
      <w:r w:rsidR="001F7077" w:rsidRPr="00813647">
        <w:rPr>
          <w:rFonts w:cs="Tahoma"/>
          <w:sz w:val="20"/>
        </w:rPr>
        <w:t>tems</w:t>
      </w:r>
    </w:p>
    <w:p w:rsidR="00C945B0" w:rsidRPr="00813647" w:rsidRDefault="00C945B0" w:rsidP="00025AA2">
      <w:pPr>
        <w:ind w:left="720"/>
        <w:jc w:val="both"/>
        <w:rPr>
          <w:rFonts w:ascii="Tahoma" w:hAnsi="Tahoma" w:cs="Tahoma"/>
        </w:rPr>
      </w:pPr>
    </w:p>
    <w:p w:rsidR="00C945B0" w:rsidRPr="00813647" w:rsidRDefault="0012783E" w:rsidP="00025AA2">
      <w:pPr>
        <w:ind w:left="720"/>
        <w:jc w:val="both"/>
        <w:rPr>
          <w:rFonts w:ascii="Tahoma" w:hAnsi="Tahoma" w:cs="Tahoma"/>
        </w:rPr>
      </w:pPr>
      <w:r w:rsidRPr="00813647">
        <w:rPr>
          <w:rFonts w:ascii="Tahoma" w:hAnsi="Tahoma" w:cs="Tahoma"/>
        </w:rPr>
        <w:t>T</w:t>
      </w:r>
      <w:r w:rsidR="001F7077" w:rsidRPr="00813647">
        <w:rPr>
          <w:rFonts w:ascii="Tahoma" w:hAnsi="Tahoma" w:cs="Tahoma"/>
        </w:rPr>
        <w:t xml:space="preserve">here were no </w:t>
      </w:r>
      <w:r w:rsidR="000043E1" w:rsidRPr="00813647">
        <w:rPr>
          <w:rFonts w:ascii="Tahoma" w:hAnsi="Tahoma" w:cs="Tahoma"/>
        </w:rPr>
        <w:t xml:space="preserve">unusual items affecting the Group for the financial </w:t>
      </w:r>
      <w:r w:rsidR="006120E0" w:rsidRPr="00813647">
        <w:rPr>
          <w:rFonts w:ascii="Tahoma" w:hAnsi="Tahoma" w:cs="Tahoma"/>
        </w:rPr>
        <w:t>period</w:t>
      </w:r>
      <w:r w:rsidR="000043E1" w:rsidRPr="00813647">
        <w:rPr>
          <w:rFonts w:ascii="Tahoma" w:hAnsi="Tahoma" w:cs="Tahoma"/>
        </w:rPr>
        <w:t xml:space="preserve"> </w:t>
      </w:r>
      <w:r w:rsidR="00025AA2" w:rsidRPr="00813647">
        <w:rPr>
          <w:rFonts w:ascii="Tahoma" w:hAnsi="Tahoma" w:cs="Tahoma"/>
        </w:rPr>
        <w:t>ended</w:t>
      </w:r>
      <w:r w:rsidR="004D6ED7" w:rsidRPr="00813647">
        <w:rPr>
          <w:rFonts w:ascii="Tahoma" w:hAnsi="Tahoma" w:cs="Tahoma"/>
        </w:rPr>
        <w:t xml:space="preserve"> 3</w:t>
      </w:r>
      <w:r w:rsidR="003A09E5" w:rsidRPr="00813647">
        <w:rPr>
          <w:rFonts w:ascii="Tahoma" w:hAnsi="Tahoma" w:cs="Tahoma"/>
        </w:rPr>
        <w:t>1</w:t>
      </w:r>
      <w:r w:rsidR="009E56D7" w:rsidRPr="00813647">
        <w:rPr>
          <w:rFonts w:ascii="Tahoma" w:hAnsi="Tahoma" w:cs="Tahoma"/>
        </w:rPr>
        <w:t xml:space="preserve"> </w:t>
      </w:r>
      <w:r w:rsidR="007F37AF">
        <w:rPr>
          <w:rFonts w:ascii="Tahoma" w:hAnsi="Tahoma" w:cs="Tahoma"/>
        </w:rPr>
        <w:t>January 2016.</w:t>
      </w:r>
    </w:p>
    <w:p w:rsidR="00BA3D19" w:rsidRPr="00813647" w:rsidRDefault="00BA3D19" w:rsidP="00025AA2">
      <w:pPr>
        <w:jc w:val="both"/>
        <w:rPr>
          <w:rFonts w:ascii="Tahoma" w:hAnsi="Tahoma" w:cs="Tahoma"/>
        </w:rPr>
      </w:pPr>
    </w:p>
    <w:p w:rsidR="00EE578B" w:rsidRPr="00813647" w:rsidRDefault="00EE578B" w:rsidP="00025AA2">
      <w:pPr>
        <w:jc w:val="both"/>
        <w:rPr>
          <w:rFonts w:ascii="Tahoma" w:hAnsi="Tahoma" w:cs="Tahoma"/>
        </w:rPr>
      </w:pPr>
    </w:p>
    <w:p w:rsidR="00C945B0" w:rsidRPr="00813647" w:rsidRDefault="00C945B0" w:rsidP="00025AA2">
      <w:pPr>
        <w:pStyle w:val="Heading4"/>
        <w:rPr>
          <w:rFonts w:cs="Tahoma"/>
          <w:sz w:val="20"/>
        </w:rPr>
      </w:pPr>
      <w:r w:rsidRPr="00813647">
        <w:rPr>
          <w:rFonts w:cs="Tahoma"/>
          <w:sz w:val="20"/>
        </w:rPr>
        <w:t>A</w:t>
      </w:r>
      <w:r w:rsidR="00A730D1" w:rsidRPr="00813647">
        <w:rPr>
          <w:rFonts w:cs="Tahoma"/>
          <w:sz w:val="20"/>
        </w:rPr>
        <w:t>5</w:t>
      </w:r>
      <w:r w:rsidRPr="00813647">
        <w:rPr>
          <w:rFonts w:cs="Tahoma"/>
          <w:sz w:val="20"/>
        </w:rPr>
        <w:t>.</w:t>
      </w:r>
      <w:r w:rsidRPr="00813647">
        <w:rPr>
          <w:rFonts w:cs="Tahoma"/>
          <w:sz w:val="20"/>
        </w:rPr>
        <w:tab/>
        <w:t>Change in Estimates</w:t>
      </w:r>
    </w:p>
    <w:p w:rsidR="00C945B0" w:rsidRPr="00813647" w:rsidRDefault="00C945B0" w:rsidP="00025AA2">
      <w:pPr>
        <w:pStyle w:val="BodyTextIndent"/>
        <w:rPr>
          <w:rFonts w:cs="Tahoma"/>
          <w:sz w:val="20"/>
        </w:rPr>
      </w:pPr>
    </w:p>
    <w:p w:rsidR="00C945B0" w:rsidRPr="00813647" w:rsidRDefault="00AC4400" w:rsidP="00025AA2">
      <w:pPr>
        <w:pStyle w:val="BodyTextIndent"/>
        <w:rPr>
          <w:rFonts w:cs="Tahoma"/>
          <w:sz w:val="20"/>
        </w:rPr>
      </w:pPr>
      <w:r w:rsidRPr="00813647">
        <w:rPr>
          <w:rFonts w:cs="Tahoma"/>
          <w:sz w:val="20"/>
        </w:rPr>
        <w:t xml:space="preserve">There are no changes in </w:t>
      </w:r>
      <w:r w:rsidR="007963D2" w:rsidRPr="00813647">
        <w:rPr>
          <w:rFonts w:cs="Tahoma"/>
          <w:sz w:val="20"/>
        </w:rPr>
        <w:t xml:space="preserve">the </w:t>
      </w:r>
      <w:r w:rsidRPr="00813647">
        <w:rPr>
          <w:rFonts w:cs="Tahoma"/>
          <w:sz w:val="20"/>
        </w:rPr>
        <w:t xml:space="preserve">estimates </w:t>
      </w:r>
      <w:r w:rsidR="007963D2" w:rsidRPr="00813647">
        <w:rPr>
          <w:rFonts w:cs="Tahoma"/>
          <w:sz w:val="20"/>
        </w:rPr>
        <w:t xml:space="preserve">of amounts </w:t>
      </w:r>
      <w:r w:rsidRPr="00813647">
        <w:rPr>
          <w:rFonts w:cs="Tahoma"/>
          <w:sz w:val="20"/>
        </w:rPr>
        <w:t xml:space="preserve">reported in prior interim periods </w:t>
      </w:r>
      <w:r w:rsidR="007963D2" w:rsidRPr="00813647">
        <w:rPr>
          <w:rFonts w:cs="Tahoma"/>
          <w:sz w:val="20"/>
        </w:rPr>
        <w:t xml:space="preserve">that </w:t>
      </w:r>
      <w:r w:rsidRPr="00813647">
        <w:rPr>
          <w:rFonts w:cs="Tahoma"/>
          <w:sz w:val="20"/>
        </w:rPr>
        <w:t xml:space="preserve">have a material effect </w:t>
      </w:r>
      <w:r w:rsidR="007963D2" w:rsidRPr="00813647">
        <w:rPr>
          <w:rFonts w:cs="Tahoma"/>
          <w:sz w:val="20"/>
        </w:rPr>
        <w:t>on the result</w:t>
      </w:r>
      <w:r w:rsidR="00A34370" w:rsidRPr="00813647">
        <w:rPr>
          <w:rFonts w:cs="Tahoma"/>
          <w:sz w:val="20"/>
        </w:rPr>
        <w:t>s</w:t>
      </w:r>
      <w:r w:rsidR="007963D2" w:rsidRPr="00813647">
        <w:rPr>
          <w:rFonts w:cs="Tahoma"/>
          <w:sz w:val="20"/>
        </w:rPr>
        <w:t xml:space="preserve"> for </w:t>
      </w:r>
      <w:r w:rsidR="00A34370" w:rsidRPr="00813647">
        <w:rPr>
          <w:rFonts w:cs="Tahoma"/>
          <w:sz w:val="20"/>
        </w:rPr>
        <w:t xml:space="preserve">the </w:t>
      </w:r>
      <w:r w:rsidR="007963D2" w:rsidRPr="00813647">
        <w:rPr>
          <w:rFonts w:cs="Tahoma"/>
          <w:sz w:val="20"/>
        </w:rPr>
        <w:t>current quarter under review.</w:t>
      </w:r>
    </w:p>
    <w:p w:rsidR="00CC22CB" w:rsidRPr="00813647" w:rsidRDefault="00CC22CB" w:rsidP="00025AA2">
      <w:pPr>
        <w:jc w:val="both"/>
        <w:rPr>
          <w:rFonts w:ascii="Tahoma" w:hAnsi="Tahoma" w:cs="Tahoma"/>
        </w:rPr>
      </w:pPr>
    </w:p>
    <w:p w:rsidR="008D1392" w:rsidRPr="00813647" w:rsidRDefault="008D1392" w:rsidP="00025AA2">
      <w:pPr>
        <w:jc w:val="both"/>
        <w:rPr>
          <w:rFonts w:ascii="Tahoma" w:hAnsi="Tahoma" w:cs="Tahoma"/>
        </w:rPr>
      </w:pPr>
    </w:p>
    <w:p w:rsidR="00C945B0" w:rsidRPr="00813647" w:rsidRDefault="00C945B0" w:rsidP="0007146A">
      <w:pPr>
        <w:pStyle w:val="Heading4"/>
        <w:rPr>
          <w:rFonts w:cs="Tahoma"/>
          <w:sz w:val="20"/>
        </w:rPr>
      </w:pPr>
      <w:r w:rsidRPr="00813647">
        <w:rPr>
          <w:rFonts w:cs="Tahoma"/>
          <w:sz w:val="20"/>
        </w:rPr>
        <w:t>A</w:t>
      </w:r>
      <w:r w:rsidR="00A730D1" w:rsidRPr="00813647">
        <w:rPr>
          <w:rFonts w:cs="Tahoma"/>
          <w:sz w:val="20"/>
        </w:rPr>
        <w:t>6</w:t>
      </w:r>
      <w:r w:rsidRPr="00813647">
        <w:rPr>
          <w:rFonts w:cs="Tahoma"/>
          <w:sz w:val="20"/>
        </w:rPr>
        <w:t>.</w:t>
      </w:r>
      <w:r w:rsidRPr="00813647">
        <w:rPr>
          <w:rFonts w:cs="Tahoma"/>
          <w:sz w:val="20"/>
        </w:rPr>
        <w:tab/>
      </w:r>
      <w:r w:rsidR="000043E1" w:rsidRPr="00813647">
        <w:rPr>
          <w:rFonts w:cs="Tahoma"/>
          <w:sz w:val="20"/>
        </w:rPr>
        <w:t xml:space="preserve">Debts and </w:t>
      </w:r>
      <w:r w:rsidR="00D07222">
        <w:rPr>
          <w:rFonts w:cs="Tahoma"/>
          <w:sz w:val="20"/>
        </w:rPr>
        <w:t>E</w:t>
      </w:r>
      <w:r w:rsidR="000043E1" w:rsidRPr="00813647">
        <w:rPr>
          <w:rFonts w:cs="Tahoma"/>
          <w:sz w:val="20"/>
        </w:rPr>
        <w:t xml:space="preserve">quity </w:t>
      </w:r>
      <w:r w:rsidR="00D07222">
        <w:rPr>
          <w:rFonts w:cs="Tahoma"/>
          <w:sz w:val="20"/>
        </w:rPr>
        <w:t>S</w:t>
      </w:r>
      <w:r w:rsidR="000043E1" w:rsidRPr="00813647">
        <w:rPr>
          <w:rFonts w:cs="Tahoma"/>
          <w:sz w:val="20"/>
        </w:rPr>
        <w:t>ecurities</w:t>
      </w:r>
    </w:p>
    <w:p w:rsidR="00C945B0" w:rsidRPr="00813647" w:rsidRDefault="00C945B0" w:rsidP="00025AA2">
      <w:pPr>
        <w:ind w:left="720"/>
        <w:jc w:val="both"/>
        <w:rPr>
          <w:rFonts w:ascii="Tahoma" w:hAnsi="Tahoma" w:cs="Tahoma"/>
        </w:rPr>
      </w:pPr>
    </w:p>
    <w:p w:rsidR="00B423C5" w:rsidRPr="008B3C3B" w:rsidRDefault="008371E0" w:rsidP="00B423C5">
      <w:pPr>
        <w:pStyle w:val="BodyTextIndent3"/>
        <w:ind w:firstLine="0"/>
        <w:rPr>
          <w:rFonts w:cs="Tahoma"/>
          <w:sz w:val="20"/>
        </w:rPr>
      </w:pPr>
      <w:r w:rsidRPr="008371E0">
        <w:rPr>
          <w:rFonts w:cs="Tahoma"/>
          <w:sz w:val="20"/>
        </w:rPr>
        <w:t>During the current period under review, the Company repurchased 5,000 ordinary shares of RM0.50 each at an average price of RM1.13 per ordinary share. Total number of ordinary shares purchased and held as treasury shares as at 31 January 2016 was 487,900.</w:t>
      </w:r>
    </w:p>
    <w:p w:rsidR="002C568F" w:rsidRPr="00813647" w:rsidRDefault="002C568F" w:rsidP="00A6399C">
      <w:pPr>
        <w:pStyle w:val="BodyTextIndent3"/>
        <w:ind w:firstLine="0"/>
        <w:rPr>
          <w:rFonts w:cs="Tahoma"/>
          <w:sz w:val="20"/>
        </w:rPr>
      </w:pPr>
    </w:p>
    <w:p w:rsidR="00EC540C" w:rsidRPr="00813647" w:rsidRDefault="00EC540C" w:rsidP="00A6399C">
      <w:pPr>
        <w:pStyle w:val="BodyTextIndent3"/>
        <w:ind w:firstLine="0"/>
        <w:rPr>
          <w:rFonts w:cs="Tahoma"/>
          <w:sz w:val="20"/>
        </w:rPr>
      </w:pPr>
    </w:p>
    <w:p w:rsidR="004D1734" w:rsidRDefault="004D1734" w:rsidP="006F05AD">
      <w:pPr>
        <w:pStyle w:val="BodyTextIndent3"/>
        <w:rPr>
          <w:rFonts w:cs="Tahoma"/>
          <w:sz w:val="20"/>
        </w:rPr>
      </w:pPr>
    </w:p>
    <w:p w:rsidR="00D07222" w:rsidRPr="00813647" w:rsidRDefault="00D07222" w:rsidP="006F05AD">
      <w:pPr>
        <w:pStyle w:val="BodyTextIndent3"/>
        <w:rPr>
          <w:rFonts w:cs="Tahoma"/>
          <w:sz w:val="20"/>
        </w:rPr>
      </w:pPr>
    </w:p>
    <w:p w:rsidR="00C945B0" w:rsidRPr="00813647" w:rsidRDefault="00FF6EE1" w:rsidP="00025AA2">
      <w:pPr>
        <w:pStyle w:val="Heading4"/>
        <w:rPr>
          <w:rFonts w:cs="Tahoma"/>
          <w:sz w:val="20"/>
        </w:rPr>
      </w:pPr>
      <w:r w:rsidRPr="00813647">
        <w:rPr>
          <w:rFonts w:cs="Tahoma"/>
          <w:sz w:val="20"/>
        </w:rPr>
        <w:t>A</w:t>
      </w:r>
      <w:r w:rsidR="00A730D1" w:rsidRPr="00813647">
        <w:rPr>
          <w:rFonts w:cs="Tahoma"/>
          <w:sz w:val="20"/>
        </w:rPr>
        <w:t>7</w:t>
      </w:r>
      <w:r w:rsidR="000043E1" w:rsidRPr="00813647">
        <w:rPr>
          <w:rFonts w:cs="Tahoma"/>
          <w:sz w:val="20"/>
        </w:rPr>
        <w:t>.</w:t>
      </w:r>
      <w:r w:rsidR="000043E1" w:rsidRPr="00813647">
        <w:rPr>
          <w:rFonts w:cs="Tahoma"/>
          <w:sz w:val="20"/>
        </w:rPr>
        <w:tab/>
        <w:t>Dividend Paid</w:t>
      </w:r>
    </w:p>
    <w:p w:rsidR="00C945B0" w:rsidRPr="00813647" w:rsidRDefault="00C945B0" w:rsidP="00025AA2">
      <w:pPr>
        <w:ind w:left="720"/>
        <w:jc w:val="both"/>
        <w:rPr>
          <w:rFonts w:ascii="Tahoma" w:hAnsi="Tahoma" w:cs="Tahoma"/>
        </w:rPr>
      </w:pPr>
    </w:p>
    <w:p w:rsidR="00B423C5" w:rsidRPr="008B3C3B" w:rsidRDefault="00B423C5" w:rsidP="00B423C5">
      <w:pPr>
        <w:ind w:left="720"/>
        <w:jc w:val="both"/>
        <w:rPr>
          <w:rFonts w:ascii="Tahoma" w:hAnsi="Tahoma" w:cs="Tahoma"/>
        </w:rPr>
      </w:pPr>
      <w:r w:rsidRPr="008B3C3B">
        <w:rPr>
          <w:rFonts w:ascii="Tahoma" w:hAnsi="Tahoma" w:cs="Tahoma"/>
        </w:rPr>
        <w:t>During the current period under review, the Company paid a first and f</w:t>
      </w:r>
      <w:r w:rsidR="00522115">
        <w:rPr>
          <w:rFonts w:ascii="Tahoma" w:hAnsi="Tahoma" w:cs="Tahoma"/>
        </w:rPr>
        <w:t>inal single tier dividend of 4.0</w:t>
      </w:r>
      <w:r w:rsidRPr="008B3C3B">
        <w:rPr>
          <w:rFonts w:ascii="Tahoma" w:hAnsi="Tahoma" w:cs="Tahoma"/>
        </w:rPr>
        <w:t xml:space="preserve"> sen per ordinary share totaling RM</w:t>
      </w:r>
      <w:r w:rsidR="000572F7">
        <w:rPr>
          <w:rFonts w:ascii="Tahoma" w:hAnsi="Tahoma" w:cs="Tahoma"/>
        </w:rPr>
        <w:t xml:space="preserve">5,470,684 </w:t>
      </w:r>
      <w:r w:rsidRPr="008B3C3B">
        <w:rPr>
          <w:rFonts w:ascii="Tahoma" w:hAnsi="Tahoma" w:cs="Tahoma"/>
        </w:rPr>
        <w:t>in respect of the f</w:t>
      </w:r>
      <w:r w:rsidR="000572F7">
        <w:rPr>
          <w:rFonts w:ascii="Tahoma" w:hAnsi="Tahoma" w:cs="Tahoma"/>
        </w:rPr>
        <w:t>inancial year ended 31 July 2015</w:t>
      </w:r>
      <w:r w:rsidRPr="008B3C3B">
        <w:rPr>
          <w:rFonts w:ascii="Tahoma" w:hAnsi="Tahoma" w:cs="Tahoma"/>
        </w:rPr>
        <w:t xml:space="preserve"> on 2</w:t>
      </w:r>
      <w:r w:rsidR="007C018C">
        <w:rPr>
          <w:rFonts w:ascii="Tahoma" w:hAnsi="Tahoma" w:cs="Tahoma"/>
        </w:rPr>
        <w:t>2 December 2015</w:t>
      </w:r>
      <w:r w:rsidRPr="008B3C3B">
        <w:rPr>
          <w:rFonts w:ascii="Tahoma" w:hAnsi="Tahoma" w:cs="Tahoma"/>
        </w:rPr>
        <w:t>.</w:t>
      </w:r>
    </w:p>
    <w:p w:rsidR="00802350" w:rsidRPr="00813647" w:rsidRDefault="00802350" w:rsidP="00BA3D19">
      <w:pPr>
        <w:jc w:val="both"/>
        <w:rPr>
          <w:rFonts w:ascii="Tahoma" w:hAnsi="Tahoma" w:cs="Tahoma"/>
        </w:rPr>
      </w:pPr>
    </w:p>
    <w:p w:rsidR="00E16F2F" w:rsidRPr="00813647" w:rsidRDefault="00E16F2F" w:rsidP="00BA3D19">
      <w:pPr>
        <w:jc w:val="both"/>
        <w:rPr>
          <w:rFonts w:ascii="Tahoma" w:hAnsi="Tahoma" w:cs="Tahoma"/>
        </w:rPr>
      </w:pPr>
    </w:p>
    <w:p w:rsidR="00C945B0" w:rsidRPr="00813647" w:rsidRDefault="00C945B0">
      <w:pPr>
        <w:pStyle w:val="Heading4"/>
        <w:rPr>
          <w:rFonts w:cs="Tahoma"/>
          <w:sz w:val="20"/>
        </w:rPr>
      </w:pPr>
      <w:r w:rsidRPr="00813647">
        <w:rPr>
          <w:rFonts w:cs="Tahoma"/>
          <w:sz w:val="20"/>
        </w:rPr>
        <w:t>A</w:t>
      </w:r>
      <w:r w:rsidR="00A730D1" w:rsidRPr="00813647">
        <w:rPr>
          <w:rFonts w:cs="Tahoma"/>
          <w:sz w:val="20"/>
        </w:rPr>
        <w:t>8</w:t>
      </w:r>
      <w:r w:rsidRPr="00813647">
        <w:rPr>
          <w:rFonts w:cs="Tahoma"/>
          <w:sz w:val="20"/>
        </w:rPr>
        <w:t>.</w:t>
      </w:r>
      <w:r w:rsidRPr="00813647">
        <w:rPr>
          <w:rFonts w:cs="Tahoma"/>
          <w:sz w:val="20"/>
        </w:rPr>
        <w:tab/>
        <w:t>Segment Reporting</w:t>
      </w:r>
    </w:p>
    <w:p w:rsidR="0007146A" w:rsidRPr="00813647" w:rsidRDefault="0007146A" w:rsidP="0007146A">
      <w:pPr>
        <w:rPr>
          <w:rFonts w:ascii="Tahoma" w:hAnsi="Tahoma" w:cs="Tahoma"/>
        </w:rPr>
      </w:pPr>
    </w:p>
    <w:p w:rsidR="0007146A" w:rsidRPr="00813647" w:rsidRDefault="0007146A" w:rsidP="0007146A">
      <w:pPr>
        <w:rPr>
          <w:rFonts w:ascii="Tahoma" w:hAnsi="Tahoma" w:cs="Tahoma"/>
        </w:rPr>
      </w:pPr>
      <w:r w:rsidRPr="00813647">
        <w:rPr>
          <w:rFonts w:ascii="Tahoma" w:hAnsi="Tahoma" w:cs="Tahoma"/>
        </w:rPr>
        <w:tab/>
        <w:t>Segment reporting for the current year to date 3</w:t>
      </w:r>
      <w:r w:rsidR="003A09E5" w:rsidRPr="00813647">
        <w:rPr>
          <w:rFonts w:ascii="Tahoma" w:hAnsi="Tahoma" w:cs="Tahoma"/>
        </w:rPr>
        <w:t>1</w:t>
      </w:r>
      <w:r w:rsidRPr="00813647">
        <w:rPr>
          <w:rFonts w:ascii="Tahoma" w:hAnsi="Tahoma" w:cs="Tahoma"/>
        </w:rPr>
        <w:t xml:space="preserve"> </w:t>
      </w:r>
      <w:r w:rsidR="00416803">
        <w:rPr>
          <w:rFonts w:ascii="Tahoma" w:hAnsi="Tahoma" w:cs="Tahoma"/>
        </w:rPr>
        <w:t>January</w:t>
      </w:r>
      <w:r w:rsidRPr="00813647">
        <w:rPr>
          <w:rFonts w:ascii="Tahoma" w:hAnsi="Tahoma" w:cs="Tahoma"/>
        </w:rPr>
        <w:t xml:space="preserve"> 201</w:t>
      </w:r>
      <w:r w:rsidR="00416803">
        <w:rPr>
          <w:rFonts w:ascii="Tahoma" w:hAnsi="Tahoma" w:cs="Tahoma"/>
        </w:rPr>
        <w:t>6</w:t>
      </w:r>
    </w:p>
    <w:p w:rsidR="00EE578B" w:rsidRPr="00813647" w:rsidRDefault="00EE578B" w:rsidP="0007146A">
      <w:pPr>
        <w:rPr>
          <w:rFonts w:ascii="Tahoma" w:hAnsi="Tahoma" w:cs="Tahoma"/>
        </w:rPr>
      </w:pPr>
    </w:p>
    <w:tbl>
      <w:tblPr>
        <w:tblW w:w="10260" w:type="dxa"/>
        <w:tblInd w:w="-162" w:type="dxa"/>
        <w:tblLayout w:type="fixed"/>
        <w:tblLook w:val="0000"/>
      </w:tblPr>
      <w:tblGrid>
        <w:gridCol w:w="1710"/>
        <w:gridCol w:w="1260"/>
        <w:gridCol w:w="1080"/>
        <w:gridCol w:w="900"/>
        <w:gridCol w:w="900"/>
        <w:gridCol w:w="1260"/>
        <w:gridCol w:w="900"/>
        <w:gridCol w:w="1260"/>
        <w:gridCol w:w="990"/>
      </w:tblGrid>
      <w:tr w:rsidR="0022404D" w:rsidRPr="00813647" w:rsidTr="00F55C1F">
        <w:trPr>
          <w:cantSplit/>
          <w:trHeight w:val="252"/>
        </w:trPr>
        <w:tc>
          <w:tcPr>
            <w:tcW w:w="1710" w:type="dxa"/>
            <w:tcBorders>
              <w:top w:val="single" w:sz="4" w:space="0" w:color="auto"/>
              <w:left w:val="single" w:sz="4" w:space="0" w:color="auto"/>
            </w:tcBorders>
          </w:tcPr>
          <w:p w:rsidR="00E16F2F" w:rsidRPr="00813647" w:rsidRDefault="00E16F2F" w:rsidP="00881BB4">
            <w:pPr>
              <w:jc w:val="both"/>
              <w:rPr>
                <w:rFonts w:ascii="Tahoma" w:hAnsi="Tahoma" w:cs="Tahoma"/>
              </w:rPr>
            </w:pPr>
          </w:p>
        </w:tc>
        <w:tc>
          <w:tcPr>
            <w:tcW w:w="1260" w:type="dxa"/>
            <w:tcBorders>
              <w:top w:val="single" w:sz="4" w:space="0" w:color="auto"/>
              <w:lef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Investment</w:t>
            </w:r>
          </w:p>
          <w:p w:rsidR="00E16F2F" w:rsidRPr="00813647" w:rsidRDefault="00E16F2F" w:rsidP="000B0B80">
            <w:pPr>
              <w:jc w:val="right"/>
              <w:rPr>
                <w:rFonts w:ascii="Tahoma" w:hAnsi="Tahoma" w:cs="Tahoma"/>
              </w:rPr>
            </w:pPr>
            <w:r w:rsidRPr="00813647">
              <w:rPr>
                <w:rFonts w:ascii="Tahoma" w:hAnsi="Tahoma" w:cs="Tahoma"/>
              </w:rPr>
              <w:t>Holding</w:t>
            </w:r>
          </w:p>
        </w:tc>
        <w:tc>
          <w:tcPr>
            <w:tcW w:w="1080" w:type="dxa"/>
            <w:tcBorders>
              <w:top w:val="single" w:sz="4" w:space="0" w:color="auto"/>
              <w:left w:val="single" w:sz="4" w:space="0" w:color="auto"/>
              <w:righ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Furniture</w:t>
            </w:r>
          </w:p>
        </w:tc>
        <w:tc>
          <w:tcPr>
            <w:tcW w:w="900" w:type="dxa"/>
            <w:tcBorders>
              <w:top w:val="single" w:sz="4" w:space="0" w:color="auto"/>
              <w:left w:val="nil"/>
              <w:righ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Carton Boxes</w:t>
            </w:r>
          </w:p>
        </w:tc>
        <w:tc>
          <w:tcPr>
            <w:tcW w:w="900" w:type="dxa"/>
            <w:tcBorders>
              <w:top w:val="single" w:sz="4" w:space="0" w:color="auto"/>
              <w:left w:val="single" w:sz="4" w:space="0" w:color="auto"/>
              <w:righ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Kiln-Drying</w:t>
            </w:r>
          </w:p>
        </w:tc>
        <w:tc>
          <w:tcPr>
            <w:tcW w:w="1260" w:type="dxa"/>
            <w:tcBorders>
              <w:top w:val="single" w:sz="4" w:space="0" w:color="auto"/>
              <w:left w:val="single" w:sz="4" w:space="0" w:color="auto"/>
              <w:right w:val="single" w:sz="4" w:space="0" w:color="auto"/>
            </w:tcBorders>
          </w:tcPr>
          <w:p w:rsidR="00E16F2F" w:rsidRPr="00813647" w:rsidRDefault="00E16F2F" w:rsidP="00137B13">
            <w:pPr>
              <w:jc w:val="right"/>
              <w:rPr>
                <w:rFonts w:ascii="Tahoma" w:hAnsi="Tahoma" w:cs="Tahoma"/>
              </w:rPr>
            </w:pPr>
            <w:r w:rsidRPr="00813647">
              <w:rPr>
                <w:rFonts w:ascii="Tahoma" w:hAnsi="Tahoma" w:cs="Tahoma"/>
              </w:rPr>
              <w:t>Renewable Energy</w:t>
            </w:r>
          </w:p>
        </w:tc>
        <w:tc>
          <w:tcPr>
            <w:tcW w:w="900" w:type="dxa"/>
            <w:tcBorders>
              <w:top w:val="single" w:sz="4" w:space="0" w:color="auto"/>
              <w:lef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Others</w:t>
            </w:r>
          </w:p>
        </w:tc>
        <w:tc>
          <w:tcPr>
            <w:tcW w:w="1260" w:type="dxa"/>
            <w:tcBorders>
              <w:top w:val="single" w:sz="4" w:space="0" w:color="auto"/>
              <w:lef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Inter-Co</w:t>
            </w:r>
          </w:p>
          <w:p w:rsidR="00E16F2F" w:rsidRPr="00813647" w:rsidRDefault="00E16F2F" w:rsidP="000B0B80">
            <w:pPr>
              <w:jc w:val="right"/>
              <w:rPr>
                <w:rFonts w:ascii="Tahoma" w:hAnsi="Tahoma" w:cs="Tahoma"/>
              </w:rPr>
            </w:pPr>
            <w:r w:rsidRPr="00813647">
              <w:rPr>
                <w:rFonts w:ascii="Tahoma" w:hAnsi="Tahoma" w:cs="Tahoma"/>
              </w:rPr>
              <w:t>Elimination</w:t>
            </w:r>
          </w:p>
        </w:tc>
        <w:tc>
          <w:tcPr>
            <w:tcW w:w="990" w:type="dxa"/>
            <w:tcBorders>
              <w:top w:val="single" w:sz="4" w:space="0" w:color="auto"/>
              <w:left w:val="single" w:sz="4" w:space="0" w:color="auto"/>
              <w:righ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Total</w:t>
            </w:r>
          </w:p>
        </w:tc>
      </w:tr>
      <w:tr w:rsidR="0022404D" w:rsidRPr="00813647" w:rsidTr="00F55C1F">
        <w:tc>
          <w:tcPr>
            <w:tcW w:w="1710" w:type="dxa"/>
            <w:tcBorders>
              <w:left w:val="single" w:sz="4" w:space="0" w:color="auto"/>
            </w:tcBorders>
          </w:tcPr>
          <w:p w:rsidR="00E16F2F" w:rsidRPr="00813647" w:rsidRDefault="00E16F2F" w:rsidP="00881BB4">
            <w:pPr>
              <w:jc w:val="both"/>
              <w:rPr>
                <w:rFonts w:ascii="Tahoma" w:hAnsi="Tahoma" w:cs="Tahoma"/>
              </w:rPr>
            </w:pPr>
          </w:p>
        </w:tc>
        <w:tc>
          <w:tcPr>
            <w:tcW w:w="1260" w:type="dxa"/>
            <w:tcBorders>
              <w:lef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RM’000</w:t>
            </w:r>
          </w:p>
        </w:tc>
        <w:tc>
          <w:tcPr>
            <w:tcW w:w="1080" w:type="dxa"/>
            <w:tcBorders>
              <w:left w:val="single" w:sz="4" w:space="0" w:color="auto"/>
              <w:righ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RM’000</w:t>
            </w:r>
          </w:p>
        </w:tc>
        <w:tc>
          <w:tcPr>
            <w:tcW w:w="900" w:type="dxa"/>
            <w:tcBorders>
              <w:left w:val="nil"/>
              <w:righ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RM’000</w:t>
            </w:r>
          </w:p>
        </w:tc>
        <w:tc>
          <w:tcPr>
            <w:tcW w:w="900" w:type="dxa"/>
            <w:tcBorders>
              <w:left w:val="single" w:sz="4" w:space="0" w:color="auto"/>
              <w:righ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RM’000</w:t>
            </w:r>
          </w:p>
        </w:tc>
        <w:tc>
          <w:tcPr>
            <w:tcW w:w="1260" w:type="dxa"/>
            <w:tcBorders>
              <w:left w:val="single" w:sz="4" w:space="0" w:color="auto"/>
              <w:right w:val="single" w:sz="4" w:space="0" w:color="auto"/>
            </w:tcBorders>
          </w:tcPr>
          <w:p w:rsidR="00E16F2F" w:rsidRPr="00813647" w:rsidRDefault="00E16F2F" w:rsidP="00137B13">
            <w:pPr>
              <w:jc w:val="right"/>
              <w:rPr>
                <w:rFonts w:ascii="Tahoma" w:hAnsi="Tahoma" w:cs="Tahoma"/>
              </w:rPr>
            </w:pPr>
            <w:r w:rsidRPr="00813647">
              <w:rPr>
                <w:rFonts w:ascii="Tahoma" w:hAnsi="Tahoma" w:cs="Tahoma"/>
              </w:rPr>
              <w:t>RM’000</w:t>
            </w:r>
          </w:p>
        </w:tc>
        <w:tc>
          <w:tcPr>
            <w:tcW w:w="900" w:type="dxa"/>
            <w:tcBorders>
              <w:lef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RM’000</w:t>
            </w:r>
          </w:p>
        </w:tc>
        <w:tc>
          <w:tcPr>
            <w:tcW w:w="1260" w:type="dxa"/>
            <w:tcBorders>
              <w:left w:val="single" w:sz="4" w:space="0" w:color="auto"/>
              <w:bottom w:val="single" w:sz="4" w:space="0" w:color="auto"/>
            </w:tcBorders>
          </w:tcPr>
          <w:p w:rsidR="00E16F2F" w:rsidRPr="00813647" w:rsidRDefault="00E16F2F" w:rsidP="000B0B80">
            <w:pPr>
              <w:jc w:val="right"/>
              <w:rPr>
                <w:rFonts w:ascii="Tahoma" w:hAnsi="Tahoma" w:cs="Tahoma"/>
              </w:rPr>
            </w:pPr>
            <w:r w:rsidRPr="00813647">
              <w:rPr>
                <w:rFonts w:ascii="Tahoma" w:hAnsi="Tahoma" w:cs="Tahoma"/>
              </w:rPr>
              <w:t>RM’000</w:t>
            </w:r>
          </w:p>
        </w:tc>
        <w:tc>
          <w:tcPr>
            <w:tcW w:w="990" w:type="dxa"/>
            <w:tcBorders>
              <w:left w:val="single" w:sz="4" w:space="0" w:color="auto"/>
              <w:right w:val="single" w:sz="4" w:space="0" w:color="auto"/>
            </w:tcBorders>
          </w:tcPr>
          <w:p w:rsidR="00E16F2F" w:rsidRPr="00813647" w:rsidRDefault="00E16F2F" w:rsidP="000B0B80">
            <w:pPr>
              <w:jc w:val="right"/>
              <w:rPr>
                <w:rFonts w:ascii="Tahoma" w:hAnsi="Tahoma" w:cs="Tahoma"/>
              </w:rPr>
            </w:pPr>
            <w:r w:rsidRPr="00813647">
              <w:rPr>
                <w:rFonts w:ascii="Tahoma" w:hAnsi="Tahoma" w:cs="Tahoma"/>
              </w:rPr>
              <w:t>RM’000</w:t>
            </w:r>
          </w:p>
        </w:tc>
      </w:tr>
      <w:tr w:rsidR="0022404D" w:rsidRPr="00813647" w:rsidTr="00F55C1F">
        <w:trPr>
          <w:trHeight w:val="377"/>
        </w:trPr>
        <w:tc>
          <w:tcPr>
            <w:tcW w:w="1710" w:type="dxa"/>
            <w:tcBorders>
              <w:top w:val="single" w:sz="4" w:space="0" w:color="auto"/>
              <w:left w:val="single" w:sz="4" w:space="0" w:color="auto"/>
            </w:tcBorders>
          </w:tcPr>
          <w:p w:rsidR="00E16F2F" w:rsidRPr="00813647" w:rsidRDefault="00E16F2F" w:rsidP="00881BB4">
            <w:pPr>
              <w:pStyle w:val="Heading2"/>
              <w:jc w:val="both"/>
              <w:rPr>
                <w:rFonts w:cs="Tahoma"/>
                <w:sz w:val="20"/>
              </w:rPr>
            </w:pPr>
          </w:p>
          <w:p w:rsidR="00E16F2F" w:rsidRPr="00813647" w:rsidRDefault="00E16F2F" w:rsidP="00881BB4">
            <w:pPr>
              <w:pStyle w:val="Heading2"/>
              <w:jc w:val="both"/>
              <w:rPr>
                <w:rFonts w:cs="Tahoma"/>
                <w:sz w:val="20"/>
              </w:rPr>
            </w:pPr>
            <w:r w:rsidRPr="00813647">
              <w:rPr>
                <w:rFonts w:cs="Tahoma"/>
                <w:sz w:val="20"/>
              </w:rPr>
              <w:t>Revenue</w:t>
            </w:r>
          </w:p>
        </w:tc>
        <w:tc>
          <w:tcPr>
            <w:tcW w:w="1260" w:type="dxa"/>
            <w:tcBorders>
              <w:top w:val="single" w:sz="4" w:space="0" w:color="auto"/>
              <w:left w:val="single" w:sz="4" w:space="0" w:color="auto"/>
              <w:right w:val="single" w:sz="4" w:space="0" w:color="auto"/>
            </w:tcBorders>
          </w:tcPr>
          <w:p w:rsidR="00E16F2F" w:rsidRPr="00813647" w:rsidRDefault="00E16F2F" w:rsidP="00881BB4">
            <w:pPr>
              <w:jc w:val="right"/>
              <w:rPr>
                <w:rFonts w:ascii="Tahoma" w:hAnsi="Tahoma" w:cs="Tahoma"/>
              </w:rPr>
            </w:pPr>
          </w:p>
        </w:tc>
        <w:tc>
          <w:tcPr>
            <w:tcW w:w="1080" w:type="dxa"/>
            <w:tcBorders>
              <w:top w:val="single" w:sz="4" w:space="0" w:color="auto"/>
              <w:left w:val="nil"/>
            </w:tcBorders>
          </w:tcPr>
          <w:p w:rsidR="00E16F2F" w:rsidRPr="00813647" w:rsidRDefault="00E16F2F" w:rsidP="00881BB4">
            <w:pPr>
              <w:jc w:val="right"/>
              <w:rPr>
                <w:rFonts w:ascii="Tahoma" w:hAnsi="Tahoma" w:cs="Tahoma"/>
              </w:rPr>
            </w:pPr>
          </w:p>
        </w:tc>
        <w:tc>
          <w:tcPr>
            <w:tcW w:w="900" w:type="dxa"/>
            <w:tcBorders>
              <w:top w:val="single" w:sz="4" w:space="0" w:color="auto"/>
              <w:left w:val="single" w:sz="4" w:space="0" w:color="auto"/>
              <w:right w:val="single" w:sz="4" w:space="0" w:color="auto"/>
            </w:tcBorders>
          </w:tcPr>
          <w:p w:rsidR="00E16F2F" w:rsidRPr="00813647" w:rsidRDefault="00E16F2F" w:rsidP="00881BB4">
            <w:pPr>
              <w:jc w:val="right"/>
              <w:rPr>
                <w:rFonts w:ascii="Tahoma" w:hAnsi="Tahoma" w:cs="Tahoma"/>
              </w:rPr>
            </w:pPr>
          </w:p>
        </w:tc>
        <w:tc>
          <w:tcPr>
            <w:tcW w:w="900" w:type="dxa"/>
            <w:tcBorders>
              <w:top w:val="single" w:sz="4" w:space="0" w:color="auto"/>
              <w:left w:val="single" w:sz="4" w:space="0" w:color="auto"/>
              <w:right w:val="single" w:sz="4" w:space="0" w:color="auto"/>
            </w:tcBorders>
          </w:tcPr>
          <w:p w:rsidR="00E16F2F" w:rsidRPr="00813647" w:rsidRDefault="00E16F2F" w:rsidP="00881BB4">
            <w:pPr>
              <w:jc w:val="right"/>
              <w:rPr>
                <w:rFonts w:ascii="Tahoma" w:hAnsi="Tahoma" w:cs="Tahoma"/>
              </w:rPr>
            </w:pPr>
          </w:p>
        </w:tc>
        <w:tc>
          <w:tcPr>
            <w:tcW w:w="1260" w:type="dxa"/>
            <w:tcBorders>
              <w:top w:val="single" w:sz="4" w:space="0" w:color="auto"/>
              <w:left w:val="single" w:sz="4" w:space="0" w:color="auto"/>
              <w:right w:val="single" w:sz="4" w:space="0" w:color="auto"/>
            </w:tcBorders>
          </w:tcPr>
          <w:p w:rsidR="00E16F2F" w:rsidRPr="00813647" w:rsidRDefault="00E16F2F" w:rsidP="00137B13">
            <w:pPr>
              <w:jc w:val="right"/>
              <w:rPr>
                <w:rFonts w:ascii="Tahoma" w:hAnsi="Tahoma" w:cs="Tahoma"/>
              </w:rPr>
            </w:pPr>
          </w:p>
        </w:tc>
        <w:tc>
          <w:tcPr>
            <w:tcW w:w="900" w:type="dxa"/>
            <w:tcBorders>
              <w:top w:val="single" w:sz="4" w:space="0" w:color="auto"/>
              <w:left w:val="single" w:sz="4" w:space="0" w:color="auto"/>
              <w:right w:val="single" w:sz="4" w:space="0" w:color="auto"/>
            </w:tcBorders>
          </w:tcPr>
          <w:p w:rsidR="00E16F2F" w:rsidRPr="00813647" w:rsidRDefault="00E16F2F" w:rsidP="00881BB4">
            <w:pPr>
              <w:jc w:val="right"/>
              <w:rPr>
                <w:rFonts w:ascii="Tahoma" w:hAnsi="Tahoma" w:cs="Tahoma"/>
              </w:rPr>
            </w:pPr>
          </w:p>
        </w:tc>
        <w:tc>
          <w:tcPr>
            <w:tcW w:w="1260" w:type="dxa"/>
            <w:tcBorders>
              <w:left w:val="nil"/>
              <w:right w:val="single" w:sz="4" w:space="0" w:color="auto"/>
            </w:tcBorders>
          </w:tcPr>
          <w:p w:rsidR="00E16F2F" w:rsidRPr="00813647" w:rsidRDefault="00E16F2F" w:rsidP="00881BB4">
            <w:pPr>
              <w:jc w:val="right"/>
              <w:rPr>
                <w:rFonts w:ascii="Tahoma" w:hAnsi="Tahoma" w:cs="Tahoma"/>
              </w:rPr>
            </w:pPr>
          </w:p>
        </w:tc>
        <w:tc>
          <w:tcPr>
            <w:tcW w:w="990" w:type="dxa"/>
            <w:tcBorders>
              <w:top w:val="single" w:sz="4" w:space="0" w:color="auto"/>
              <w:left w:val="nil"/>
              <w:right w:val="single" w:sz="4" w:space="0" w:color="auto"/>
            </w:tcBorders>
          </w:tcPr>
          <w:p w:rsidR="00E16F2F" w:rsidRPr="00813647" w:rsidRDefault="00E16F2F" w:rsidP="00881BB4">
            <w:pPr>
              <w:jc w:val="right"/>
              <w:rPr>
                <w:rFonts w:ascii="Tahoma" w:hAnsi="Tahoma" w:cs="Tahoma"/>
              </w:rPr>
            </w:pPr>
          </w:p>
        </w:tc>
      </w:tr>
      <w:tr w:rsidR="0022404D" w:rsidRPr="00813647" w:rsidTr="00F55C1F">
        <w:trPr>
          <w:trHeight w:val="216"/>
        </w:trPr>
        <w:tc>
          <w:tcPr>
            <w:tcW w:w="1710" w:type="dxa"/>
            <w:tcBorders>
              <w:left w:val="single" w:sz="4" w:space="0" w:color="auto"/>
            </w:tcBorders>
          </w:tcPr>
          <w:p w:rsidR="00E16F2F" w:rsidRPr="00813647" w:rsidRDefault="00E16F2F" w:rsidP="00881BB4">
            <w:pPr>
              <w:jc w:val="both"/>
              <w:rPr>
                <w:rFonts w:ascii="Tahoma" w:hAnsi="Tahoma" w:cs="Tahoma"/>
              </w:rPr>
            </w:pPr>
            <w:r w:rsidRPr="00813647">
              <w:rPr>
                <w:rFonts w:ascii="Tahoma" w:hAnsi="Tahoma" w:cs="Tahoma"/>
              </w:rPr>
              <w:t>External sales</w:t>
            </w:r>
          </w:p>
        </w:tc>
        <w:tc>
          <w:tcPr>
            <w:tcW w:w="1260" w:type="dxa"/>
            <w:tcBorders>
              <w:left w:val="single" w:sz="4" w:space="0" w:color="auto"/>
              <w:right w:val="single" w:sz="4" w:space="0" w:color="auto"/>
            </w:tcBorders>
          </w:tcPr>
          <w:p w:rsidR="00E16F2F" w:rsidRPr="00813647" w:rsidRDefault="002C2034" w:rsidP="00881BB4">
            <w:pPr>
              <w:jc w:val="right"/>
              <w:rPr>
                <w:rFonts w:ascii="Tahoma" w:hAnsi="Tahoma" w:cs="Tahoma"/>
              </w:rPr>
            </w:pPr>
            <w:r>
              <w:rPr>
                <w:rFonts w:ascii="Tahoma" w:hAnsi="Tahoma" w:cs="Tahoma"/>
              </w:rPr>
              <w:t>-</w:t>
            </w:r>
          </w:p>
        </w:tc>
        <w:tc>
          <w:tcPr>
            <w:tcW w:w="1080" w:type="dxa"/>
            <w:tcBorders>
              <w:left w:val="nil"/>
            </w:tcBorders>
          </w:tcPr>
          <w:p w:rsidR="00E16F2F" w:rsidRPr="00813647" w:rsidRDefault="00143DF5" w:rsidP="003A09E5">
            <w:pPr>
              <w:jc w:val="right"/>
              <w:rPr>
                <w:rFonts w:ascii="Tahoma" w:hAnsi="Tahoma" w:cs="Tahoma"/>
              </w:rPr>
            </w:pPr>
            <w:r>
              <w:rPr>
                <w:rFonts w:ascii="Tahoma" w:hAnsi="Tahoma" w:cs="Tahoma"/>
              </w:rPr>
              <w:t>124,639</w:t>
            </w:r>
          </w:p>
        </w:tc>
        <w:tc>
          <w:tcPr>
            <w:tcW w:w="900" w:type="dxa"/>
            <w:tcBorders>
              <w:left w:val="single" w:sz="4" w:space="0" w:color="auto"/>
              <w:right w:val="single" w:sz="4" w:space="0" w:color="auto"/>
            </w:tcBorders>
          </w:tcPr>
          <w:p w:rsidR="00E16F2F" w:rsidRPr="00813647" w:rsidRDefault="00143DF5" w:rsidP="008D1956">
            <w:pPr>
              <w:jc w:val="right"/>
              <w:rPr>
                <w:rFonts w:ascii="Tahoma" w:hAnsi="Tahoma" w:cs="Tahoma"/>
              </w:rPr>
            </w:pPr>
            <w:r>
              <w:rPr>
                <w:rFonts w:ascii="Tahoma" w:hAnsi="Tahoma" w:cs="Tahoma"/>
              </w:rPr>
              <w:t>11,83</w:t>
            </w:r>
            <w:r w:rsidR="008D1956">
              <w:rPr>
                <w:rFonts w:ascii="Tahoma" w:hAnsi="Tahoma" w:cs="Tahoma"/>
              </w:rPr>
              <w:t>7</w:t>
            </w:r>
          </w:p>
        </w:tc>
        <w:tc>
          <w:tcPr>
            <w:tcW w:w="900" w:type="dxa"/>
            <w:tcBorders>
              <w:left w:val="single" w:sz="4" w:space="0" w:color="auto"/>
              <w:right w:val="single" w:sz="4" w:space="0" w:color="auto"/>
            </w:tcBorders>
          </w:tcPr>
          <w:p w:rsidR="00E16F2F" w:rsidRPr="00813647" w:rsidRDefault="00143DF5" w:rsidP="001B2A09">
            <w:pPr>
              <w:jc w:val="right"/>
              <w:rPr>
                <w:rFonts w:ascii="Tahoma" w:hAnsi="Tahoma" w:cs="Tahoma"/>
              </w:rPr>
            </w:pPr>
            <w:r>
              <w:rPr>
                <w:rFonts w:ascii="Tahoma" w:hAnsi="Tahoma" w:cs="Tahoma"/>
              </w:rPr>
              <w:t>11,446</w:t>
            </w:r>
          </w:p>
        </w:tc>
        <w:tc>
          <w:tcPr>
            <w:tcW w:w="1260" w:type="dxa"/>
            <w:tcBorders>
              <w:left w:val="single" w:sz="4" w:space="0" w:color="auto"/>
              <w:right w:val="single" w:sz="4" w:space="0" w:color="auto"/>
            </w:tcBorders>
          </w:tcPr>
          <w:p w:rsidR="00E16F2F" w:rsidRPr="00813647" w:rsidRDefault="00143DF5" w:rsidP="00877040">
            <w:pPr>
              <w:jc w:val="right"/>
              <w:rPr>
                <w:rFonts w:ascii="Tahoma" w:hAnsi="Tahoma" w:cs="Tahoma"/>
              </w:rPr>
            </w:pPr>
            <w:r>
              <w:rPr>
                <w:rFonts w:ascii="Tahoma" w:hAnsi="Tahoma" w:cs="Tahoma"/>
              </w:rPr>
              <w:t>4,109</w:t>
            </w:r>
          </w:p>
        </w:tc>
        <w:tc>
          <w:tcPr>
            <w:tcW w:w="900" w:type="dxa"/>
            <w:tcBorders>
              <w:left w:val="single" w:sz="4" w:space="0" w:color="auto"/>
              <w:right w:val="single" w:sz="4" w:space="0" w:color="auto"/>
            </w:tcBorders>
          </w:tcPr>
          <w:p w:rsidR="00E16F2F" w:rsidRPr="00813647" w:rsidRDefault="00143DF5" w:rsidP="00881BB4">
            <w:pPr>
              <w:jc w:val="right"/>
              <w:rPr>
                <w:rFonts w:ascii="Tahoma" w:hAnsi="Tahoma" w:cs="Tahoma"/>
              </w:rPr>
            </w:pPr>
            <w:r>
              <w:rPr>
                <w:rFonts w:ascii="Tahoma" w:hAnsi="Tahoma" w:cs="Tahoma"/>
              </w:rPr>
              <w:t>136</w:t>
            </w:r>
          </w:p>
        </w:tc>
        <w:tc>
          <w:tcPr>
            <w:tcW w:w="1260" w:type="dxa"/>
            <w:tcBorders>
              <w:left w:val="nil"/>
              <w:right w:val="single" w:sz="4" w:space="0" w:color="auto"/>
            </w:tcBorders>
          </w:tcPr>
          <w:p w:rsidR="00E16F2F" w:rsidRPr="00813647" w:rsidRDefault="00143DF5" w:rsidP="00881BB4">
            <w:pPr>
              <w:jc w:val="right"/>
              <w:rPr>
                <w:rFonts w:ascii="Tahoma" w:hAnsi="Tahoma" w:cs="Tahoma"/>
              </w:rPr>
            </w:pPr>
            <w:r>
              <w:rPr>
                <w:rFonts w:ascii="Tahoma" w:hAnsi="Tahoma" w:cs="Tahoma"/>
              </w:rPr>
              <w:t>-</w:t>
            </w:r>
          </w:p>
        </w:tc>
        <w:tc>
          <w:tcPr>
            <w:tcW w:w="990" w:type="dxa"/>
            <w:tcBorders>
              <w:left w:val="nil"/>
              <w:right w:val="single" w:sz="4" w:space="0" w:color="auto"/>
            </w:tcBorders>
          </w:tcPr>
          <w:p w:rsidR="00E16F2F" w:rsidRPr="00813647" w:rsidRDefault="00143DF5" w:rsidP="008C12CF">
            <w:pPr>
              <w:jc w:val="right"/>
              <w:rPr>
                <w:rFonts w:ascii="Tahoma" w:hAnsi="Tahoma" w:cs="Tahoma"/>
              </w:rPr>
            </w:pPr>
            <w:r>
              <w:rPr>
                <w:rFonts w:ascii="Tahoma" w:hAnsi="Tahoma" w:cs="Tahoma"/>
              </w:rPr>
              <w:t>152,167</w:t>
            </w:r>
          </w:p>
        </w:tc>
      </w:tr>
      <w:tr w:rsidR="0022404D" w:rsidRPr="00813647" w:rsidTr="00F55C1F">
        <w:trPr>
          <w:trHeight w:val="261"/>
        </w:trPr>
        <w:tc>
          <w:tcPr>
            <w:tcW w:w="1710" w:type="dxa"/>
            <w:tcBorders>
              <w:left w:val="single" w:sz="4" w:space="0" w:color="auto"/>
            </w:tcBorders>
          </w:tcPr>
          <w:p w:rsidR="00E16F2F" w:rsidRPr="00813647" w:rsidRDefault="00E16F2F" w:rsidP="00881BB4">
            <w:pPr>
              <w:ind w:left="252" w:hanging="252"/>
              <w:jc w:val="both"/>
              <w:rPr>
                <w:rFonts w:ascii="Tahoma" w:hAnsi="Tahoma" w:cs="Tahoma"/>
              </w:rPr>
            </w:pPr>
            <w:r w:rsidRPr="00813647">
              <w:rPr>
                <w:rFonts w:ascii="Tahoma" w:hAnsi="Tahoma" w:cs="Tahoma"/>
              </w:rPr>
              <w:t>Inter-Co sales</w:t>
            </w:r>
          </w:p>
        </w:tc>
        <w:tc>
          <w:tcPr>
            <w:tcW w:w="1260" w:type="dxa"/>
            <w:tcBorders>
              <w:left w:val="single" w:sz="4" w:space="0" w:color="auto"/>
              <w:right w:val="single" w:sz="4" w:space="0" w:color="auto"/>
            </w:tcBorders>
          </w:tcPr>
          <w:p w:rsidR="00E16F2F" w:rsidRPr="00813647" w:rsidRDefault="00143DF5" w:rsidP="008C12CF">
            <w:pPr>
              <w:jc w:val="right"/>
              <w:rPr>
                <w:rFonts w:ascii="Tahoma" w:hAnsi="Tahoma" w:cs="Tahoma"/>
              </w:rPr>
            </w:pPr>
            <w:r>
              <w:rPr>
                <w:rFonts w:ascii="Tahoma" w:hAnsi="Tahoma" w:cs="Tahoma"/>
              </w:rPr>
              <w:t>6,750</w:t>
            </w:r>
          </w:p>
        </w:tc>
        <w:tc>
          <w:tcPr>
            <w:tcW w:w="1080" w:type="dxa"/>
            <w:tcBorders>
              <w:left w:val="nil"/>
            </w:tcBorders>
          </w:tcPr>
          <w:p w:rsidR="00E16F2F" w:rsidRPr="00813647" w:rsidRDefault="00143DF5" w:rsidP="00881BB4">
            <w:pPr>
              <w:jc w:val="right"/>
              <w:rPr>
                <w:rFonts w:ascii="Tahoma" w:hAnsi="Tahoma" w:cs="Tahoma"/>
              </w:rPr>
            </w:pPr>
            <w:r>
              <w:rPr>
                <w:rFonts w:ascii="Tahoma" w:hAnsi="Tahoma" w:cs="Tahoma"/>
              </w:rPr>
              <w:t>1,251</w:t>
            </w:r>
          </w:p>
        </w:tc>
        <w:tc>
          <w:tcPr>
            <w:tcW w:w="900" w:type="dxa"/>
            <w:tcBorders>
              <w:left w:val="single" w:sz="4" w:space="0" w:color="auto"/>
              <w:right w:val="single" w:sz="4" w:space="0" w:color="auto"/>
            </w:tcBorders>
          </w:tcPr>
          <w:p w:rsidR="00E16F2F" w:rsidRPr="00813647" w:rsidRDefault="00143DF5" w:rsidP="008D1956">
            <w:pPr>
              <w:jc w:val="right"/>
              <w:rPr>
                <w:rFonts w:ascii="Tahoma" w:hAnsi="Tahoma" w:cs="Tahoma"/>
              </w:rPr>
            </w:pPr>
            <w:r>
              <w:rPr>
                <w:rFonts w:ascii="Tahoma" w:hAnsi="Tahoma" w:cs="Tahoma"/>
              </w:rPr>
              <w:t>3,80</w:t>
            </w:r>
            <w:r w:rsidR="008D1956">
              <w:rPr>
                <w:rFonts w:ascii="Tahoma" w:hAnsi="Tahoma" w:cs="Tahoma"/>
              </w:rPr>
              <w:t>9</w:t>
            </w:r>
          </w:p>
        </w:tc>
        <w:tc>
          <w:tcPr>
            <w:tcW w:w="900" w:type="dxa"/>
            <w:tcBorders>
              <w:left w:val="single" w:sz="4" w:space="0" w:color="auto"/>
              <w:right w:val="single" w:sz="4" w:space="0" w:color="auto"/>
            </w:tcBorders>
          </w:tcPr>
          <w:p w:rsidR="00E16F2F" w:rsidRPr="00813647" w:rsidRDefault="00143DF5" w:rsidP="00881BB4">
            <w:pPr>
              <w:jc w:val="right"/>
              <w:rPr>
                <w:rFonts w:ascii="Tahoma" w:hAnsi="Tahoma" w:cs="Tahoma"/>
              </w:rPr>
            </w:pPr>
            <w:r>
              <w:rPr>
                <w:rFonts w:ascii="Tahoma" w:hAnsi="Tahoma" w:cs="Tahoma"/>
              </w:rPr>
              <w:t>7,773</w:t>
            </w:r>
          </w:p>
        </w:tc>
        <w:tc>
          <w:tcPr>
            <w:tcW w:w="1260" w:type="dxa"/>
            <w:tcBorders>
              <w:left w:val="single" w:sz="4" w:space="0" w:color="auto"/>
              <w:right w:val="single" w:sz="4" w:space="0" w:color="auto"/>
            </w:tcBorders>
          </w:tcPr>
          <w:p w:rsidR="00E16F2F" w:rsidRPr="00813647" w:rsidRDefault="00143DF5" w:rsidP="00137B13">
            <w:pPr>
              <w:jc w:val="right"/>
              <w:rPr>
                <w:rFonts w:ascii="Tahoma" w:hAnsi="Tahoma" w:cs="Tahoma"/>
              </w:rPr>
            </w:pPr>
            <w:r>
              <w:rPr>
                <w:rFonts w:ascii="Tahoma" w:hAnsi="Tahoma" w:cs="Tahoma"/>
              </w:rPr>
              <w:t>-</w:t>
            </w:r>
          </w:p>
        </w:tc>
        <w:tc>
          <w:tcPr>
            <w:tcW w:w="900" w:type="dxa"/>
            <w:tcBorders>
              <w:left w:val="single" w:sz="4" w:space="0" w:color="auto"/>
              <w:right w:val="single" w:sz="4" w:space="0" w:color="auto"/>
            </w:tcBorders>
          </w:tcPr>
          <w:p w:rsidR="00E16F2F" w:rsidRPr="00813647" w:rsidRDefault="00143DF5" w:rsidP="008C12CF">
            <w:pPr>
              <w:jc w:val="right"/>
              <w:rPr>
                <w:rFonts w:ascii="Tahoma" w:hAnsi="Tahoma" w:cs="Tahoma"/>
              </w:rPr>
            </w:pPr>
            <w:r>
              <w:rPr>
                <w:rFonts w:ascii="Tahoma" w:hAnsi="Tahoma" w:cs="Tahoma"/>
              </w:rPr>
              <w:t>1,184</w:t>
            </w:r>
          </w:p>
        </w:tc>
        <w:tc>
          <w:tcPr>
            <w:tcW w:w="1260" w:type="dxa"/>
            <w:tcBorders>
              <w:left w:val="nil"/>
              <w:right w:val="single" w:sz="4" w:space="0" w:color="auto"/>
            </w:tcBorders>
          </w:tcPr>
          <w:p w:rsidR="00E16F2F" w:rsidRPr="00813647" w:rsidRDefault="00143DF5" w:rsidP="0027540B">
            <w:pPr>
              <w:jc w:val="right"/>
              <w:rPr>
                <w:rFonts w:ascii="Tahoma" w:hAnsi="Tahoma" w:cs="Tahoma"/>
              </w:rPr>
            </w:pPr>
            <w:r>
              <w:rPr>
                <w:rFonts w:ascii="Tahoma" w:hAnsi="Tahoma" w:cs="Tahoma"/>
              </w:rPr>
              <w:t>(20,767)</w:t>
            </w:r>
          </w:p>
        </w:tc>
        <w:tc>
          <w:tcPr>
            <w:tcW w:w="990" w:type="dxa"/>
            <w:tcBorders>
              <w:left w:val="nil"/>
              <w:right w:val="single" w:sz="4" w:space="0" w:color="auto"/>
            </w:tcBorders>
          </w:tcPr>
          <w:p w:rsidR="00E16F2F" w:rsidRPr="00813647" w:rsidRDefault="00143DF5" w:rsidP="00881BB4">
            <w:pPr>
              <w:jc w:val="right"/>
              <w:rPr>
                <w:rFonts w:ascii="Tahoma" w:hAnsi="Tahoma" w:cs="Tahoma"/>
              </w:rPr>
            </w:pPr>
            <w:r>
              <w:rPr>
                <w:rFonts w:ascii="Tahoma" w:hAnsi="Tahoma" w:cs="Tahoma"/>
              </w:rPr>
              <w:t>-</w:t>
            </w:r>
          </w:p>
        </w:tc>
      </w:tr>
      <w:tr w:rsidR="0022404D" w:rsidRPr="00813647" w:rsidTr="00F55C1F">
        <w:trPr>
          <w:trHeight w:val="359"/>
        </w:trPr>
        <w:tc>
          <w:tcPr>
            <w:tcW w:w="1710" w:type="dxa"/>
            <w:tcBorders>
              <w:top w:val="single" w:sz="4" w:space="0" w:color="auto"/>
              <w:left w:val="single" w:sz="4" w:space="0" w:color="auto"/>
              <w:bottom w:val="single" w:sz="4" w:space="0" w:color="auto"/>
            </w:tcBorders>
          </w:tcPr>
          <w:p w:rsidR="00E16F2F" w:rsidRPr="00813647" w:rsidRDefault="00E16F2F" w:rsidP="00881BB4">
            <w:pPr>
              <w:jc w:val="both"/>
              <w:rPr>
                <w:rFonts w:ascii="Tahoma" w:hAnsi="Tahoma" w:cs="Tahoma"/>
              </w:rPr>
            </w:pPr>
            <w:r w:rsidRPr="00813647">
              <w:rPr>
                <w:rFonts w:ascii="Tahoma" w:hAnsi="Tahoma" w:cs="Tahoma"/>
              </w:rPr>
              <w:t>Total revenue</w:t>
            </w:r>
          </w:p>
        </w:tc>
        <w:tc>
          <w:tcPr>
            <w:tcW w:w="1260" w:type="dxa"/>
            <w:tcBorders>
              <w:top w:val="single" w:sz="4" w:space="0" w:color="auto"/>
              <w:left w:val="single" w:sz="4" w:space="0" w:color="auto"/>
              <w:bottom w:val="single" w:sz="4" w:space="0" w:color="auto"/>
            </w:tcBorders>
          </w:tcPr>
          <w:p w:rsidR="00E16F2F" w:rsidRPr="00813647" w:rsidRDefault="00143DF5" w:rsidP="00A77E09">
            <w:pPr>
              <w:jc w:val="right"/>
              <w:rPr>
                <w:rFonts w:ascii="Tahoma" w:hAnsi="Tahoma" w:cs="Tahoma"/>
              </w:rPr>
            </w:pPr>
            <w:r>
              <w:rPr>
                <w:rFonts w:ascii="Tahoma" w:hAnsi="Tahoma" w:cs="Tahoma"/>
              </w:rPr>
              <w:t>6,750</w:t>
            </w:r>
          </w:p>
        </w:tc>
        <w:tc>
          <w:tcPr>
            <w:tcW w:w="1080" w:type="dxa"/>
            <w:tcBorders>
              <w:top w:val="single" w:sz="4" w:space="0" w:color="auto"/>
              <w:left w:val="single" w:sz="4" w:space="0" w:color="auto"/>
              <w:bottom w:val="single" w:sz="4" w:space="0" w:color="auto"/>
              <w:right w:val="single" w:sz="4" w:space="0" w:color="auto"/>
            </w:tcBorders>
          </w:tcPr>
          <w:p w:rsidR="00E16F2F" w:rsidRPr="00813647" w:rsidRDefault="00143DF5" w:rsidP="008D1956">
            <w:pPr>
              <w:jc w:val="right"/>
              <w:rPr>
                <w:rFonts w:ascii="Tahoma" w:hAnsi="Tahoma" w:cs="Tahoma"/>
              </w:rPr>
            </w:pPr>
            <w:r>
              <w:rPr>
                <w:rFonts w:ascii="Tahoma" w:hAnsi="Tahoma" w:cs="Tahoma"/>
              </w:rPr>
              <w:t>125,89</w:t>
            </w:r>
            <w:r w:rsidR="008D1956">
              <w:rPr>
                <w:rFonts w:ascii="Tahoma" w:hAnsi="Tahoma" w:cs="Tahoma"/>
              </w:rPr>
              <w:t>0</w:t>
            </w:r>
          </w:p>
        </w:tc>
        <w:tc>
          <w:tcPr>
            <w:tcW w:w="900" w:type="dxa"/>
            <w:tcBorders>
              <w:top w:val="single" w:sz="4" w:space="0" w:color="auto"/>
              <w:left w:val="nil"/>
              <w:bottom w:val="single" w:sz="4" w:space="0" w:color="auto"/>
              <w:right w:val="single" w:sz="4" w:space="0" w:color="auto"/>
            </w:tcBorders>
          </w:tcPr>
          <w:p w:rsidR="00E16F2F" w:rsidRPr="00813647" w:rsidRDefault="00143DF5" w:rsidP="008D1956">
            <w:pPr>
              <w:jc w:val="right"/>
              <w:rPr>
                <w:rFonts w:ascii="Tahoma" w:hAnsi="Tahoma" w:cs="Tahoma"/>
              </w:rPr>
            </w:pPr>
            <w:r>
              <w:rPr>
                <w:rFonts w:ascii="Tahoma" w:hAnsi="Tahoma" w:cs="Tahoma"/>
              </w:rPr>
              <w:t>15,64</w:t>
            </w:r>
            <w:r w:rsidR="008D1956">
              <w:rPr>
                <w:rFonts w:ascii="Tahoma" w:hAnsi="Tahoma" w:cs="Tahoma"/>
              </w:rPr>
              <w:t>6</w:t>
            </w:r>
          </w:p>
        </w:tc>
        <w:tc>
          <w:tcPr>
            <w:tcW w:w="900" w:type="dxa"/>
            <w:tcBorders>
              <w:top w:val="single" w:sz="4" w:space="0" w:color="auto"/>
              <w:left w:val="single" w:sz="4" w:space="0" w:color="auto"/>
              <w:bottom w:val="single" w:sz="4" w:space="0" w:color="auto"/>
              <w:right w:val="single" w:sz="4" w:space="0" w:color="auto"/>
            </w:tcBorders>
          </w:tcPr>
          <w:p w:rsidR="00E16F2F" w:rsidRPr="00813647" w:rsidRDefault="00143DF5" w:rsidP="001B2A09">
            <w:pPr>
              <w:ind w:right="9"/>
              <w:jc w:val="right"/>
              <w:rPr>
                <w:rFonts w:ascii="Tahoma" w:hAnsi="Tahoma" w:cs="Tahoma"/>
              </w:rPr>
            </w:pPr>
            <w:r>
              <w:rPr>
                <w:rFonts w:ascii="Tahoma" w:hAnsi="Tahoma" w:cs="Tahoma"/>
              </w:rPr>
              <w:t>19,219</w:t>
            </w:r>
          </w:p>
        </w:tc>
        <w:tc>
          <w:tcPr>
            <w:tcW w:w="1260" w:type="dxa"/>
            <w:tcBorders>
              <w:top w:val="single" w:sz="4" w:space="0" w:color="auto"/>
              <w:left w:val="single" w:sz="4" w:space="0" w:color="auto"/>
              <w:bottom w:val="single" w:sz="4" w:space="0" w:color="auto"/>
              <w:right w:val="single" w:sz="4" w:space="0" w:color="auto"/>
            </w:tcBorders>
          </w:tcPr>
          <w:p w:rsidR="00E16F2F" w:rsidRPr="00813647" w:rsidRDefault="00143DF5" w:rsidP="00877040">
            <w:pPr>
              <w:jc w:val="right"/>
              <w:rPr>
                <w:rFonts w:ascii="Tahoma" w:hAnsi="Tahoma" w:cs="Tahoma"/>
              </w:rPr>
            </w:pPr>
            <w:r>
              <w:rPr>
                <w:rFonts w:ascii="Tahoma" w:hAnsi="Tahoma" w:cs="Tahoma"/>
              </w:rPr>
              <w:t>4,109</w:t>
            </w:r>
          </w:p>
        </w:tc>
        <w:tc>
          <w:tcPr>
            <w:tcW w:w="900" w:type="dxa"/>
            <w:tcBorders>
              <w:top w:val="single" w:sz="4" w:space="0" w:color="auto"/>
              <w:left w:val="single" w:sz="4" w:space="0" w:color="auto"/>
              <w:bottom w:val="single" w:sz="4" w:space="0" w:color="auto"/>
            </w:tcBorders>
          </w:tcPr>
          <w:p w:rsidR="00E16F2F" w:rsidRPr="00813647" w:rsidRDefault="00143DF5" w:rsidP="008D1956">
            <w:pPr>
              <w:ind w:right="-18"/>
              <w:jc w:val="right"/>
              <w:rPr>
                <w:rFonts w:ascii="Tahoma" w:hAnsi="Tahoma" w:cs="Tahoma"/>
              </w:rPr>
            </w:pPr>
            <w:r>
              <w:rPr>
                <w:rFonts w:ascii="Tahoma" w:hAnsi="Tahoma" w:cs="Tahoma"/>
              </w:rPr>
              <w:t>1,32</w:t>
            </w:r>
            <w:r w:rsidR="008D1956">
              <w:rPr>
                <w:rFonts w:ascii="Tahoma" w:hAnsi="Tahoma" w:cs="Tahoma"/>
              </w:rPr>
              <w:t>0</w:t>
            </w:r>
          </w:p>
        </w:tc>
        <w:tc>
          <w:tcPr>
            <w:tcW w:w="1260" w:type="dxa"/>
            <w:tcBorders>
              <w:top w:val="single" w:sz="4" w:space="0" w:color="auto"/>
              <w:left w:val="single" w:sz="4" w:space="0" w:color="auto"/>
              <w:bottom w:val="single" w:sz="4" w:space="0" w:color="auto"/>
              <w:right w:val="single" w:sz="4" w:space="0" w:color="auto"/>
            </w:tcBorders>
          </w:tcPr>
          <w:p w:rsidR="00E16F2F" w:rsidRPr="00813647" w:rsidRDefault="00143DF5" w:rsidP="0027540B">
            <w:pPr>
              <w:jc w:val="right"/>
              <w:rPr>
                <w:rFonts w:ascii="Tahoma" w:hAnsi="Tahoma" w:cs="Tahoma"/>
              </w:rPr>
            </w:pPr>
            <w:r>
              <w:rPr>
                <w:rFonts w:ascii="Tahoma" w:hAnsi="Tahoma" w:cs="Tahoma"/>
              </w:rPr>
              <w:t>(20,767)</w:t>
            </w:r>
          </w:p>
        </w:tc>
        <w:tc>
          <w:tcPr>
            <w:tcW w:w="990" w:type="dxa"/>
            <w:tcBorders>
              <w:top w:val="single" w:sz="4" w:space="0" w:color="auto"/>
              <w:left w:val="nil"/>
              <w:right w:val="single" w:sz="4" w:space="0" w:color="auto"/>
            </w:tcBorders>
          </w:tcPr>
          <w:p w:rsidR="00E16F2F" w:rsidRPr="00813647" w:rsidRDefault="00143DF5" w:rsidP="008C12CF">
            <w:pPr>
              <w:jc w:val="right"/>
              <w:rPr>
                <w:rFonts w:ascii="Tahoma" w:hAnsi="Tahoma" w:cs="Tahoma"/>
              </w:rPr>
            </w:pPr>
            <w:r>
              <w:rPr>
                <w:rFonts w:ascii="Tahoma" w:hAnsi="Tahoma" w:cs="Tahoma"/>
              </w:rPr>
              <w:t>152,167</w:t>
            </w:r>
          </w:p>
        </w:tc>
      </w:tr>
      <w:tr w:rsidR="0022404D" w:rsidRPr="00813647" w:rsidTr="00F55C1F">
        <w:trPr>
          <w:trHeight w:val="701"/>
        </w:trPr>
        <w:tc>
          <w:tcPr>
            <w:tcW w:w="1710" w:type="dxa"/>
            <w:tcBorders>
              <w:top w:val="single" w:sz="4" w:space="0" w:color="auto"/>
              <w:left w:val="single" w:sz="4" w:space="0" w:color="auto"/>
              <w:bottom w:val="single" w:sz="4" w:space="0" w:color="auto"/>
            </w:tcBorders>
          </w:tcPr>
          <w:p w:rsidR="00E16F2F" w:rsidRPr="00813647" w:rsidRDefault="00E16F2F" w:rsidP="00592E8A">
            <w:pPr>
              <w:pStyle w:val="Heading5"/>
              <w:jc w:val="center"/>
              <w:rPr>
                <w:rFonts w:cs="Tahoma"/>
                <w:sz w:val="20"/>
              </w:rPr>
            </w:pPr>
          </w:p>
          <w:p w:rsidR="00E16F2F" w:rsidRPr="00813647" w:rsidRDefault="00E16F2F" w:rsidP="00881BB4">
            <w:pPr>
              <w:pStyle w:val="Heading5"/>
              <w:rPr>
                <w:rFonts w:cs="Tahoma"/>
                <w:sz w:val="20"/>
              </w:rPr>
            </w:pPr>
            <w:r w:rsidRPr="00813647">
              <w:rPr>
                <w:rFonts w:cs="Tahoma"/>
                <w:sz w:val="20"/>
              </w:rPr>
              <w:t>Results</w:t>
            </w:r>
          </w:p>
          <w:p w:rsidR="00E16F2F" w:rsidRPr="00813647" w:rsidRDefault="00E16F2F" w:rsidP="00881BB4">
            <w:pPr>
              <w:rPr>
                <w:rFonts w:ascii="Tahoma" w:hAnsi="Tahoma" w:cs="Tahoma"/>
              </w:rPr>
            </w:pPr>
            <w:r w:rsidRPr="00813647">
              <w:rPr>
                <w:rFonts w:ascii="Tahoma" w:hAnsi="Tahoma" w:cs="Tahoma"/>
              </w:rPr>
              <w:t>Segment result</w:t>
            </w:r>
          </w:p>
        </w:tc>
        <w:tc>
          <w:tcPr>
            <w:tcW w:w="1260" w:type="dxa"/>
            <w:tcBorders>
              <w:top w:val="single" w:sz="4" w:space="0" w:color="auto"/>
              <w:left w:val="single" w:sz="4" w:space="0" w:color="auto"/>
              <w:bottom w:val="single" w:sz="4" w:space="0" w:color="auto"/>
            </w:tcBorders>
          </w:tcPr>
          <w:p w:rsidR="00CF4FAA" w:rsidRDefault="00CF4FAA" w:rsidP="00EC4C43">
            <w:pPr>
              <w:jc w:val="right"/>
              <w:rPr>
                <w:rFonts w:ascii="Tahoma" w:hAnsi="Tahoma" w:cs="Tahoma"/>
              </w:rPr>
            </w:pPr>
          </w:p>
          <w:p w:rsidR="00143DF5" w:rsidRDefault="00143DF5" w:rsidP="00EC4C43">
            <w:pPr>
              <w:jc w:val="right"/>
              <w:rPr>
                <w:rFonts w:ascii="Tahoma" w:hAnsi="Tahoma" w:cs="Tahoma"/>
              </w:rPr>
            </w:pPr>
          </w:p>
          <w:p w:rsidR="00143DF5" w:rsidRPr="00813647" w:rsidRDefault="00143DF5" w:rsidP="00EC4C43">
            <w:pPr>
              <w:jc w:val="right"/>
              <w:rPr>
                <w:rFonts w:ascii="Tahoma" w:hAnsi="Tahoma" w:cs="Tahoma"/>
              </w:rPr>
            </w:pPr>
            <w:r>
              <w:rPr>
                <w:rFonts w:ascii="Tahoma" w:hAnsi="Tahoma" w:cs="Tahoma"/>
              </w:rPr>
              <w:t>6,006</w:t>
            </w:r>
          </w:p>
        </w:tc>
        <w:tc>
          <w:tcPr>
            <w:tcW w:w="1080" w:type="dxa"/>
            <w:tcBorders>
              <w:top w:val="single" w:sz="4" w:space="0" w:color="auto"/>
              <w:left w:val="single" w:sz="4" w:space="0" w:color="auto"/>
              <w:bottom w:val="single" w:sz="4" w:space="0" w:color="auto"/>
              <w:right w:val="single" w:sz="4" w:space="0" w:color="auto"/>
            </w:tcBorders>
          </w:tcPr>
          <w:p w:rsidR="00CF4FAA" w:rsidRDefault="00CF4FAA" w:rsidP="000F57FE">
            <w:pPr>
              <w:jc w:val="right"/>
              <w:rPr>
                <w:rFonts w:ascii="Tahoma" w:hAnsi="Tahoma" w:cs="Tahoma"/>
              </w:rPr>
            </w:pPr>
          </w:p>
          <w:p w:rsidR="00143DF5" w:rsidRDefault="00143DF5" w:rsidP="000F57FE">
            <w:pPr>
              <w:jc w:val="right"/>
              <w:rPr>
                <w:rFonts w:ascii="Tahoma" w:hAnsi="Tahoma" w:cs="Tahoma"/>
              </w:rPr>
            </w:pPr>
          </w:p>
          <w:p w:rsidR="00143DF5" w:rsidRPr="00813647" w:rsidRDefault="00143DF5" w:rsidP="000F57FE">
            <w:pPr>
              <w:jc w:val="right"/>
              <w:rPr>
                <w:rFonts w:ascii="Tahoma" w:hAnsi="Tahoma" w:cs="Tahoma"/>
              </w:rPr>
            </w:pPr>
            <w:r>
              <w:rPr>
                <w:rFonts w:ascii="Tahoma" w:hAnsi="Tahoma" w:cs="Tahoma"/>
              </w:rPr>
              <w:t>16,900</w:t>
            </w:r>
          </w:p>
        </w:tc>
        <w:tc>
          <w:tcPr>
            <w:tcW w:w="900" w:type="dxa"/>
            <w:tcBorders>
              <w:top w:val="single" w:sz="4" w:space="0" w:color="auto"/>
              <w:left w:val="nil"/>
              <w:bottom w:val="single" w:sz="4" w:space="0" w:color="auto"/>
              <w:right w:val="single" w:sz="4" w:space="0" w:color="auto"/>
            </w:tcBorders>
          </w:tcPr>
          <w:p w:rsidR="00143DF5" w:rsidRDefault="00143DF5" w:rsidP="000F57FE">
            <w:pPr>
              <w:jc w:val="right"/>
              <w:rPr>
                <w:rFonts w:ascii="Tahoma" w:hAnsi="Tahoma" w:cs="Tahoma"/>
              </w:rPr>
            </w:pPr>
          </w:p>
          <w:p w:rsidR="00143DF5" w:rsidRDefault="00143DF5" w:rsidP="000F57FE">
            <w:pPr>
              <w:jc w:val="right"/>
              <w:rPr>
                <w:rFonts w:ascii="Tahoma" w:hAnsi="Tahoma" w:cs="Tahoma"/>
              </w:rPr>
            </w:pPr>
          </w:p>
          <w:p w:rsidR="00CF4FAA" w:rsidRPr="00813647" w:rsidRDefault="00143DF5" w:rsidP="000F57FE">
            <w:pPr>
              <w:jc w:val="right"/>
              <w:rPr>
                <w:rFonts w:ascii="Tahoma" w:hAnsi="Tahoma" w:cs="Tahoma"/>
              </w:rPr>
            </w:pPr>
            <w:r>
              <w:rPr>
                <w:rFonts w:ascii="Tahoma" w:hAnsi="Tahoma" w:cs="Tahoma"/>
              </w:rPr>
              <w:t>1,320</w:t>
            </w:r>
          </w:p>
        </w:tc>
        <w:tc>
          <w:tcPr>
            <w:tcW w:w="900" w:type="dxa"/>
            <w:tcBorders>
              <w:top w:val="single" w:sz="4" w:space="0" w:color="auto"/>
              <w:left w:val="single" w:sz="4" w:space="0" w:color="auto"/>
              <w:bottom w:val="single" w:sz="4" w:space="0" w:color="auto"/>
              <w:right w:val="single" w:sz="4" w:space="0" w:color="auto"/>
            </w:tcBorders>
          </w:tcPr>
          <w:p w:rsidR="00CF4FAA" w:rsidRDefault="00CF4FAA" w:rsidP="00881BB4">
            <w:pPr>
              <w:jc w:val="right"/>
              <w:rPr>
                <w:rFonts w:ascii="Tahoma" w:hAnsi="Tahoma" w:cs="Tahoma"/>
              </w:rPr>
            </w:pPr>
          </w:p>
          <w:p w:rsidR="00143DF5" w:rsidRDefault="00143DF5" w:rsidP="00881BB4">
            <w:pPr>
              <w:jc w:val="right"/>
              <w:rPr>
                <w:rFonts w:ascii="Tahoma" w:hAnsi="Tahoma" w:cs="Tahoma"/>
              </w:rPr>
            </w:pPr>
          </w:p>
          <w:p w:rsidR="00143DF5" w:rsidRPr="00813647" w:rsidRDefault="00143DF5" w:rsidP="00881BB4">
            <w:pPr>
              <w:jc w:val="right"/>
              <w:rPr>
                <w:rFonts w:ascii="Tahoma" w:hAnsi="Tahoma" w:cs="Tahoma"/>
              </w:rPr>
            </w:pPr>
            <w:r>
              <w:rPr>
                <w:rFonts w:ascii="Tahoma" w:hAnsi="Tahoma" w:cs="Tahoma"/>
              </w:rPr>
              <w:t>(361)</w:t>
            </w:r>
          </w:p>
        </w:tc>
        <w:tc>
          <w:tcPr>
            <w:tcW w:w="1260" w:type="dxa"/>
            <w:tcBorders>
              <w:top w:val="single" w:sz="4" w:space="0" w:color="auto"/>
              <w:left w:val="single" w:sz="4" w:space="0" w:color="auto"/>
              <w:bottom w:val="single" w:sz="4" w:space="0" w:color="auto"/>
              <w:right w:val="single" w:sz="4" w:space="0" w:color="auto"/>
            </w:tcBorders>
          </w:tcPr>
          <w:p w:rsidR="00CF4FAA" w:rsidRDefault="00CF4FAA" w:rsidP="008C12CF">
            <w:pPr>
              <w:ind w:left="44" w:hanging="44"/>
              <w:jc w:val="right"/>
              <w:rPr>
                <w:rFonts w:ascii="Tahoma" w:hAnsi="Tahoma" w:cs="Tahoma"/>
              </w:rPr>
            </w:pPr>
          </w:p>
          <w:p w:rsidR="00143DF5" w:rsidRDefault="00143DF5" w:rsidP="008C12CF">
            <w:pPr>
              <w:ind w:left="44" w:hanging="44"/>
              <w:jc w:val="right"/>
              <w:rPr>
                <w:rFonts w:ascii="Tahoma" w:hAnsi="Tahoma" w:cs="Tahoma"/>
              </w:rPr>
            </w:pPr>
          </w:p>
          <w:p w:rsidR="00143DF5" w:rsidRPr="00813647" w:rsidRDefault="00143DF5" w:rsidP="008C12CF">
            <w:pPr>
              <w:ind w:left="44" w:hanging="44"/>
              <w:jc w:val="right"/>
              <w:rPr>
                <w:rFonts w:ascii="Tahoma" w:hAnsi="Tahoma" w:cs="Tahoma"/>
              </w:rPr>
            </w:pPr>
            <w:r>
              <w:rPr>
                <w:rFonts w:ascii="Tahoma" w:hAnsi="Tahoma" w:cs="Tahoma"/>
              </w:rPr>
              <w:t>35</w:t>
            </w:r>
          </w:p>
        </w:tc>
        <w:tc>
          <w:tcPr>
            <w:tcW w:w="900" w:type="dxa"/>
            <w:tcBorders>
              <w:top w:val="single" w:sz="4" w:space="0" w:color="auto"/>
              <w:left w:val="single" w:sz="4" w:space="0" w:color="auto"/>
              <w:bottom w:val="single" w:sz="4" w:space="0" w:color="auto"/>
            </w:tcBorders>
          </w:tcPr>
          <w:p w:rsidR="00143DF5" w:rsidRDefault="00143DF5" w:rsidP="001E1401">
            <w:pPr>
              <w:ind w:left="44" w:hanging="44"/>
              <w:jc w:val="right"/>
              <w:rPr>
                <w:rFonts w:ascii="Tahoma" w:hAnsi="Tahoma" w:cs="Tahoma"/>
              </w:rPr>
            </w:pPr>
          </w:p>
          <w:p w:rsidR="00071A4E" w:rsidRDefault="00071A4E" w:rsidP="001E1401">
            <w:pPr>
              <w:ind w:left="44" w:hanging="44"/>
              <w:jc w:val="right"/>
              <w:rPr>
                <w:rFonts w:ascii="Tahoma" w:hAnsi="Tahoma" w:cs="Tahoma"/>
              </w:rPr>
            </w:pPr>
          </w:p>
          <w:p w:rsidR="00071A4E" w:rsidRPr="00813647" w:rsidRDefault="00071A4E" w:rsidP="008D1956">
            <w:pPr>
              <w:ind w:left="44" w:hanging="44"/>
              <w:jc w:val="right"/>
              <w:rPr>
                <w:rFonts w:ascii="Tahoma" w:hAnsi="Tahoma" w:cs="Tahoma"/>
              </w:rPr>
            </w:pPr>
            <w:r>
              <w:rPr>
                <w:rFonts w:ascii="Tahoma" w:hAnsi="Tahoma" w:cs="Tahoma"/>
              </w:rPr>
              <w:t>(4</w:t>
            </w:r>
            <w:r w:rsidR="008D1956">
              <w:rPr>
                <w:rFonts w:ascii="Tahoma" w:hAnsi="Tahoma" w:cs="Tahoma"/>
              </w:rPr>
              <w:t>7</w:t>
            </w:r>
            <w:r>
              <w:rPr>
                <w:rFonts w:ascii="Tahoma" w:hAnsi="Tahoma" w:cs="Tahoma"/>
              </w:rPr>
              <w:t>)</w:t>
            </w:r>
          </w:p>
        </w:tc>
        <w:tc>
          <w:tcPr>
            <w:tcW w:w="1260" w:type="dxa"/>
            <w:tcBorders>
              <w:top w:val="single" w:sz="4" w:space="0" w:color="auto"/>
              <w:left w:val="single" w:sz="4" w:space="0" w:color="auto"/>
              <w:bottom w:val="single" w:sz="4" w:space="0" w:color="auto"/>
              <w:right w:val="single" w:sz="4" w:space="0" w:color="auto"/>
            </w:tcBorders>
          </w:tcPr>
          <w:p w:rsidR="00CF4FAA" w:rsidRDefault="00CF4FAA" w:rsidP="0027540B">
            <w:pPr>
              <w:jc w:val="right"/>
              <w:rPr>
                <w:rFonts w:ascii="Tahoma" w:hAnsi="Tahoma" w:cs="Tahoma"/>
              </w:rPr>
            </w:pPr>
          </w:p>
          <w:p w:rsidR="00143DF5" w:rsidRDefault="00143DF5" w:rsidP="0027540B">
            <w:pPr>
              <w:jc w:val="right"/>
              <w:rPr>
                <w:rFonts w:ascii="Tahoma" w:hAnsi="Tahoma" w:cs="Tahoma"/>
              </w:rPr>
            </w:pPr>
          </w:p>
          <w:p w:rsidR="00143DF5" w:rsidRPr="00813647" w:rsidRDefault="00143DF5" w:rsidP="0027540B">
            <w:pPr>
              <w:jc w:val="right"/>
              <w:rPr>
                <w:rFonts w:ascii="Tahoma" w:hAnsi="Tahoma" w:cs="Tahoma"/>
              </w:rPr>
            </w:pPr>
            <w:r>
              <w:rPr>
                <w:rFonts w:ascii="Tahoma" w:hAnsi="Tahoma" w:cs="Tahoma"/>
              </w:rPr>
              <w:t>(</w:t>
            </w:r>
            <w:r w:rsidR="00071A4E">
              <w:rPr>
                <w:rFonts w:ascii="Tahoma" w:hAnsi="Tahoma" w:cs="Tahoma"/>
              </w:rPr>
              <w:t>8,090</w:t>
            </w:r>
            <w:r>
              <w:rPr>
                <w:rFonts w:ascii="Tahoma" w:hAnsi="Tahoma" w:cs="Tahoma"/>
              </w:rPr>
              <w:t>)</w:t>
            </w:r>
          </w:p>
        </w:tc>
        <w:tc>
          <w:tcPr>
            <w:tcW w:w="990" w:type="dxa"/>
            <w:tcBorders>
              <w:top w:val="single" w:sz="4" w:space="0" w:color="auto"/>
              <w:left w:val="nil"/>
              <w:bottom w:val="single" w:sz="4" w:space="0" w:color="auto"/>
              <w:right w:val="single" w:sz="4" w:space="0" w:color="auto"/>
            </w:tcBorders>
          </w:tcPr>
          <w:p w:rsidR="00CF4FAA" w:rsidRDefault="00CF4FAA" w:rsidP="00EC4C43">
            <w:pPr>
              <w:ind w:right="30"/>
              <w:jc w:val="right"/>
              <w:rPr>
                <w:rFonts w:ascii="Tahoma" w:hAnsi="Tahoma" w:cs="Tahoma"/>
              </w:rPr>
            </w:pPr>
          </w:p>
          <w:p w:rsidR="00143DF5" w:rsidRDefault="00143DF5" w:rsidP="00EC4C43">
            <w:pPr>
              <w:ind w:right="30"/>
              <w:jc w:val="right"/>
              <w:rPr>
                <w:rFonts w:ascii="Tahoma" w:hAnsi="Tahoma" w:cs="Tahoma"/>
              </w:rPr>
            </w:pPr>
          </w:p>
          <w:p w:rsidR="00143DF5" w:rsidRPr="00813647" w:rsidRDefault="008D1956" w:rsidP="008D1956">
            <w:pPr>
              <w:ind w:right="30"/>
              <w:jc w:val="right"/>
              <w:rPr>
                <w:rFonts w:ascii="Tahoma" w:hAnsi="Tahoma" w:cs="Tahoma"/>
              </w:rPr>
            </w:pPr>
            <w:r>
              <w:rPr>
                <w:rFonts w:ascii="Tahoma" w:hAnsi="Tahoma" w:cs="Tahoma"/>
              </w:rPr>
              <w:t>15,763</w:t>
            </w:r>
          </w:p>
        </w:tc>
      </w:tr>
      <w:tr w:rsidR="0022404D" w:rsidRPr="00813647" w:rsidTr="00F55C1F">
        <w:trPr>
          <w:trHeight w:val="251"/>
        </w:trPr>
        <w:tc>
          <w:tcPr>
            <w:tcW w:w="1710" w:type="dxa"/>
            <w:tcBorders>
              <w:top w:val="single" w:sz="4" w:space="0" w:color="auto"/>
              <w:left w:val="single" w:sz="4" w:space="0" w:color="auto"/>
              <w:bottom w:val="single" w:sz="4" w:space="0" w:color="auto"/>
              <w:right w:val="single" w:sz="4" w:space="0" w:color="auto"/>
            </w:tcBorders>
          </w:tcPr>
          <w:p w:rsidR="00E16F2F" w:rsidRPr="00813647" w:rsidRDefault="00E16F2F" w:rsidP="00631C2C">
            <w:pPr>
              <w:jc w:val="both"/>
              <w:rPr>
                <w:rFonts w:ascii="Tahoma" w:hAnsi="Tahoma" w:cs="Tahoma"/>
              </w:rPr>
            </w:pPr>
            <w:r w:rsidRPr="00813647">
              <w:rPr>
                <w:rFonts w:ascii="Tahoma" w:hAnsi="Tahoma" w:cs="Tahoma"/>
              </w:rPr>
              <w:t>Interest income</w:t>
            </w:r>
          </w:p>
        </w:tc>
        <w:tc>
          <w:tcPr>
            <w:tcW w:w="1260" w:type="dxa"/>
            <w:tcBorders>
              <w:top w:val="single" w:sz="4" w:space="0" w:color="auto"/>
              <w:left w:val="nil"/>
              <w:bottom w:val="single" w:sz="4" w:space="0" w:color="auto"/>
              <w:right w:val="single" w:sz="4" w:space="0" w:color="auto"/>
            </w:tcBorders>
          </w:tcPr>
          <w:p w:rsidR="00E16F2F" w:rsidRPr="00813647" w:rsidRDefault="00071A4E" w:rsidP="008C12CF">
            <w:pPr>
              <w:jc w:val="right"/>
              <w:rPr>
                <w:rFonts w:ascii="Tahoma" w:hAnsi="Tahoma" w:cs="Tahoma"/>
              </w:rPr>
            </w:pPr>
            <w:r>
              <w:rPr>
                <w:rFonts w:ascii="Tahoma" w:hAnsi="Tahoma" w:cs="Tahoma"/>
              </w:rPr>
              <w:t>44</w:t>
            </w:r>
          </w:p>
        </w:tc>
        <w:tc>
          <w:tcPr>
            <w:tcW w:w="1080" w:type="dxa"/>
            <w:tcBorders>
              <w:top w:val="single" w:sz="4" w:space="0" w:color="auto"/>
              <w:left w:val="single" w:sz="4" w:space="0" w:color="auto"/>
              <w:bottom w:val="single" w:sz="4" w:space="0" w:color="auto"/>
              <w:right w:val="single" w:sz="4" w:space="0" w:color="auto"/>
            </w:tcBorders>
          </w:tcPr>
          <w:p w:rsidR="00E16F2F" w:rsidRPr="00813647" w:rsidRDefault="00071A4E" w:rsidP="0084474C">
            <w:pPr>
              <w:jc w:val="right"/>
              <w:rPr>
                <w:rFonts w:ascii="Tahoma" w:hAnsi="Tahoma" w:cs="Tahoma"/>
              </w:rPr>
            </w:pPr>
            <w:r>
              <w:rPr>
                <w:rFonts w:ascii="Tahoma" w:hAnsi="Tahoma" w:cs="Tahoma"/>
              </w:rPr>
              <w:t>215</w:t>
            </w:r>
          </w:p>
        </w:tc>
        <w:tc>
          <w:tcPr>
            <w:tcW w:w="900" w:type="dxa"/>
            <w:tcBorders>
              <w:top w:val="single" w:sz="4" w:space="0" w:color="auto"/>
              <w:left w:val="single" w:sz="4" w:space="0" w:color="auto"/>
              <w:bottom w:val="single" w:sz="4" w:space="0" w:color="auto"/>
              <w:right w:val="single" w:sz="4" w:space="0" w:color="auto"/>
            </w:tcBorders>
          </w:tcPr>
          <w:p w:rsidR="00E16F2F" w:rsidRPr="00813647" w:rsidRDefault="00071A4E" w:rsidP="008C12CF">
            <w:pPr>
              <w:jc w:val="right"/>
              <w:rPr>
                <w:rFonts w:ascii="Tahoma" w:hAnsi="Tahoma" w:cs="Tahoma"/>
              </w:rPr>
            </w:pPr>
            <w:r>
              <w:rPr>
                <w:rFonts w:ascii="Tahoma" w:hAnsi="Tahoma" w:cs="Tahoma"/>
              </w:rPr>
              <w:t>53</w:t>
            </w:r>
          </w:p>
        </w:tc>
        <w:tc>
          <w:tcPr>
            <w:tcW w:w="900" w:type="dxa"/>
            <w:tcBorders>
              <w:top w:val="single" w:sz="4" w:space="0" w:color="auto"/>
              <w:left w:val="single" w:sz="4" w:space="0" w:color="auto"/>
              <w:bottom w:val="single" w:sz="4" w:space="0" w:color="auto"/>
              <w:right w:val="single" w:sz="4" w:space="0" w:color="auto"/>
            </w:tcBorders>
          </w:tcPr>
          <w:p w:rsidR="00E16F2F" w:rsidRPr="00813647" w:rsidRDefault="00071A4E" w:rsidP="000F57FE">
            <w:pPr>
              <w:jc w:val="right"/>
              <w:rPr>
                <w:rFonts w:ascii="Tahoma" w:hAnsi="Tahoma" w:cs="Tahoma"/>
              </w:rPr>
            </w:pPr>
            <w:r>
              <w:rPr>
                <w:rFonts w:ascii="Tahoma" w:hAnsi="Tahoma" w:cs="Tahoma"/>
              </w:rPr>
              <w:t>19</w:t>
            </w:r>
          </w:p>
        </w:tc>
        <w:tc>
          <w:tcPr>
            <w:tcW w:w="1260" w:type="dxa"/>
            <w:tcBorders>
              <w:top w:val="single" w:sz="4" w:space="0" w:color="auto"/>
              <w:left w:val="single" w:sz="4" w:space="0" w:color="auto"/>
              <w:bottom w:val="single" w:sz="4" w:space="0" w:color="auto"/>
              <w:right w:val="single" w:sz="4" w:space="0" w:color="auto"/>
            </w:tcBorders>
          </w:tcPr>
          <w:p w:rsidR="00E16F2F" w:rsidRPr="00813647" w:rsidRDefault="00071A4E" w:rsidP="00137B13">
            <w:pPr>
              <w:jc w:val="right"/>
              <w:rPr>
                <w:rFonts w:ascii="Tahoma" w:hAnsi="Tahoma" w:cs="Tahoma"/>
              </w:rPr>
            </w:pPr>
            <w:r>
              <w:rPr>
                <w:rFonts w:ascii="Tahoma" w:hAnsi="Tahoma" w:cs="Tahoma"/>
              </w:rPr>
              <w:t>-</w:t>
            </w:r>
          </w:p>
        </w:tc>
        <w:tc>
          <w:tcPr>
            <w:tcW w:w="900" w:type="dxa"/>
            <w:tcBorders>
              <w:top w:val="single" w:sz="4" w:space="0" w:color="auto"/>
              <w:left w:val="single" w:sz="4" w:space="0" w:color="auto"/>
              <w:bottom w:val="single" w:sz="4" w:space="0" w:color="auto"/>
              <w:right w:val="single" w:sz="4" w:space="0" w:color="auto"/>
            </w:tcBorders>
          </w:tcPr>
          <w:p w:rsidR="00E16F2F" w:rsidRPr="00813647" w:rsidRDefault="008D1956" w:rsidP="00631C2C">
            <w:pPr>
              <w:jc w:val="right"/>
              <w:rPr>
                <w:rFonts w:ascii="Tahoma" w:hAnsi="Tahoma" w:cs="Tahoma"/>
              </w:rPr>
            </w:pPr>
            <w:r>
              <w:rPr>
                <w:rFonts w:ascii="Tahoma" w:hAnsi="Tahoma" w:cs="Tahoma"/>
              </w:rPr>
              <w:t>6</w:t>
            </w:r>
          </w:p>
        </w:tc>
        <w:tc>
          <w:tcPr>
            <w:tcW w:w="1260" w:type="dxa"/>
            <w:tcBorders>
              <w:top w:val="single" w:sz="4" w:space="0" w:color="auto"/>
              <w:left w:val="single" w:sz="4" w:space="0" w:color="auto"/>
              <w:bottom w:val="single" w:sz="4" w:space="0" w:color="auto"/>
            </w:tcBorders>
          </w:tcPr>
          <w:p w:rsidR="00E16F2F" w:rsidRPr="00813647" w:rsidRDefault="00071A4E" w:rsidP="0027540B">
            <w:pPr>
              <w:jc w:val="right"/>
              <w:rPr>
                <w:rFonts w:ascii="Tahoma" w:hAnsi="Tahoma" w:cs="Tahoma"/>
              </w:rPr>
            </w:pPr>
            <w:r>
              <w:rPr>
                <w:rFonts w:ascii="Tahoma" w:hAnsi="Tahoma" w:cs="Tahoma"/>
              </w:rPr>
              <w:t>(40)</w:t>
            </w:r>
          </w:p>
        </w:tc>
        <w:tc>
          <w:tcPr>
            <w:tcW w:w="990" w:type="dxa"/>
            <w:tcBorders>
              <w:left w:val="single" w:sz="4" w:space="0" w:color="auto"/>
              <w:bottom w:val="single" w:sz="4" w:space="0" w:color="auto"/>
              <w:right w:val="single" w:sz="4" w:space="0" w:color="auto"/>
            </w:tcBorders>
          </w:tcPr>
          <w:p w:rsidR="00E16F2F" w:rsidRPr="00813647" w:rsidRDefault="00071A4E" w:rsidP="008D1956">
            <w:pPr>
              <w:jc w:val="right"/>
              <w:rPr>
                <w:rFonts w:ascii="Tahoma" w:hAnsi="Tahoma" w:cs="Tahoma"/>
              </w:rPr>
            </w:pPr>
            <w:r>
              <w:rPr>
                <w:rFonts w:ascii="Tahoma" w:hAnsi="Tahoma" w:cs="Tahoma"/>
              </w:rPr>
              <w:t>29</w:t>
            </w:r>
            <w:r w:rsidR="008D1956">
              <w:rPr>
                <w:rFonts w:ascii="Tahoma" w:hAnsi="Tahoma" w:cs="Tahoma"/>
              </w:rPr>
              <w:t>7</w:t>
            </w:r>
          </w:p>
        </w:tc>
      </w:tr>
      <w:tr w:rsidR="0022404D" w:rsidRPr="00813647" w:rsidTr="00F55C1F">
        <w:trPr>
          <w:trHeight w:val="269"/>
        </w:trPr>
        <w:tc>
          <w:tcPr>
            <w:tcW w:w="1710" w:type="dxa"/>
            <w:tcBorders>
              <w:left w:val="single" w:sz="4" w:space="0" w:color="auto"/>
              <w:right w:val="single" w:sz="4" w:space="0" w:color="auto"/>
            </w:tcBorders>
          </w:tcPr>
          <w:p w:rsidR="00E16F2F" w:rsidRPr="00813647" w:rsidRDefault="00E16F2F" w:rsidP="00881BB4">
            <w:pPr>
              <w:jc w:val="both"/>
              <w:rPr>
                <w:rFonts w:ascii="Tahoma" w:hAnsi="Tahoma" w:cs="Tahoma"/>
              </w:rPr>
            </w:pPr>
            <w:r w:rsidRPr="00813647">
              <w:rPr>
                <w:rFonts w:ascii="Tahoma" w:hAnsi="Tahoma" w:cs="Tahoma"/>
              </w:rPr>
              <w:t>Finance costs</w:t>
            </w:r>
          </w:p>
        </w:tc>
        <w:tc>
          <w:tcPr>
            <w:tcW w:w="1260" w:type="dxa"/>
            <w:tcBorders>
              <w:left w:val="nil"/>
              <w:right w:val="single" w:sz="4" w:space="0" w:color="auto"/>
            </w:tcBorders>
          </w:tcPr>
          <w:p w:rsidR="00E16F2F" w:rsidRPr="00813647" w:rsidRDefault="00071A4E" w:rsidP="0027540B">
            <w:pPr>
              <w:jc w:val="right"/>
              <w:rPr>
                <w:rFonts w:ascii="Tahoma" w:hAnsi="Tahoma" w:cs="Tahoma"/>
              </w:rPr>
            </w:pPr>
            <w:r>
              <w:rPr>
                <w:rFonts w:ascii="Tahoma" w:hAnsi="Tahoma" w:cs="Tahoma"/>
              </w:rPr>
              <w:t>(2)</w:t>
            </w:r>
          </w:p>
        </w:tc>
        <w:tc>
          <w:tcPr>
            <w:tcW w:w="1080" w:type="dxa"/>
            <w:tcBorders>
              <w:left w:val="single" w:sz="4" w:space="0" w:color="auto"/>
              <w:right w:val="single" w:sz="4" w:space="0" w:color="auto"/>
            </w:tcBorders>
          </w:tcPr>
          <w:p w:rsidR="00E16F2F" w:rsidRPr="00813647" w:rsidRDefault="00071A4E" w:rsidP="0027540B">
            <w:pPr>
              <w:jc w:val="right"/>
              <w:rPr>
                <w:rFonts w:ascii="Tahoma" w:hAnsi="Tahoma" w:cs="Tahoma"/>
              </w:rPr>
            </w:pPr>
            <w:r>
              <w:rPr>
                <w:rFonts w:ascii="Tahoma" w:hAnsi="Tahoma" w:cs="Tahoma"/>
              </w:rPr>
              <w:t>(412)</w:t>
            </w:r>
          </w:p>
        </w:tc>
        <w:tc>
          <w:tcPr>
            <w:tcW w:w="900" w:type="dxa"/>
            <w:tcBorders>
              <w:left w:val="single" w:sz="4" w:space="0" w:color="auto"/>
              <w:right w:val="single" w:sz="4" w:space="0" w:color="auto"/>
            </w:tcBorders>
          </w:tcPr>
          <w:p w:rsidR="00E16F2F" w:rsidRPr="00813647" w:rsidRDefault="00071A4E" w:rsidP="008C12CF">
            <w:pPr>
              <w:jc w:val="right"/>
              <w:rPr>
                <w:rFonts w:ascii="Tahoma" w:hAnsi="Tahoma" w:cs="Tahoma"/>
              </w:rPr>
            </w:pPr>
            <w:r>
              <w:rPr>
                <w:rFonts w:ascii="Tahoma" w:hAnsi="Tahoma" w:cs="Tahoma"/>
              </w:rPr>
              <w:t>(1)</w:t>
            </w:r>
          </w:p>
        </w:tc>
        <w:tc>
          <w:tcPr>
            <w:tcW w:w="900" w:type="dxa"/>
            <w:tcBorders>
              <w:left w:val="single" w:sz="4" w:space="0" w:color="auto"/>
              <w:right w:val="single" w:sz="4" w:space="0" w:color="auto"/>
            </w:tcBorders>
          </w:tcPr>
          <w:p w:rsidR="00E16F2F" w:rsidRPr="00813647" w:rsidRDefault="00071A4E" w:rsidP="008C12CF">
            <w:pPr>
              <w:jc w:val="right"/>
              <w:rPr>
                <w:rFonts w:ascii="Tahoma" w:hAnsi="Tahoma" w:cs="Tahoma"/>
              </w:rPr>
            </w:pPr>
            <w:r>
              <w:rPr>
                <w:rFonts w:ascii="Tahoma" w:hAnsi="Tahoma" w:cs="Tahoma"/>
              </w:rPr>
              <w:t>(392)</w:t>
            </w:r>
          </w:p>
        </w:tc>
        <w:tc>
          <w:tcPr>
            <w:tcW w:w="1260" w:type="dxa"/>
            <w:tcBorders>
              <w:left w:val="single" w:sz="4" w:space="0" w:color="auto"/>
              <w:right w:val="single" w:sz="4" w:space="0" w:color="auto"/>
            </w:tcBorders>
          </w:tcPr>
          <w:p w:rsidR="00E16F2F" w:rsidRPr="00813647" w:rsidRDefault="00071A4E" w:rsidP="0027540B">
            <w:pPr>
              <w:jc w:val="right"/>
              <w:rPr>
                <w:rFonts w:ascii="Tahoma" w:hAnsi="Tahoma" w:cs="Tahoma"/>
              </w:rPr>
            </w:pPr>
            <w:r>
              <w:rPr>
                <w:rFonts w:ascii="Tahoma" w:hAnsi="Tahoma" w:cs="Tahoma"/>
              </w:rPr>
              <w:t>(228)</w:t>
            </w:r>
          </w:p>
        </w:tc>
        <w:tc>
          <w:tcPr>
            <w:tcW w:w="900" w:type="dxa"/>
            <w:tcBorders>
              <w:left w:val="single" w:sz="4" w:space="0" w:color="auto"/>
              <w:right w:val="single" w:sz="4" w:space="0" w:color="auto"/>
            </w:tcBorders>
          </w:tcPr>
          <w:p w:rsidR="00E16F2F" w:rsidRPr="00813647" w:rsidRDefault="00071A4E" w:rsidP="008D1956">
            <w:pPr>
              <w:jc w:val="right"/>
              <w:rPr>
                <w:rFonts w:ascii="Tahoma" w:hAnsi="Tahoma" w:cs="Tahoma"/>
              </w:rPr>
            </w:pPr>
            <w:r>
              <w:rPr>
                <w:rFonts w:ascii="Tahoma" w:hAnsi="Tahoma" w:cs="Tahoma"/>
              </w:rPr>
              <w:t>(</w:t>
            </w:r>
            <w:r w:rsidR="008D1956">
              <w:rPr>
                <w:rFonts w:ascii="Tahoma" w:hAnsi="Tahoma" w:cs="Tahoma"/>
              </w:rPr>
              <w:t>5</w:t>
            </w:r>
            <w:r>
              <w:rPr>
                <w:rFonts w:ascii="Tahoma" w:hAnsi="Tahoma" w:cs="Tahoma"/>
              </w:rPr>
              <w:t>)</w:t>
            </w:r>
          </w:p>
        </w:tc>
        <w:tc>
          <w:tcPr>
            <w:tcW w:w="1260" w:type="dxa"/>
            <w:tcBorders>
              <w:left w:val="single" w:sz="4" w:space="0" w:color="auto"/>
              <w:bottom w:val="single" w:sz="4" w:space="0" w:color="auto"/>
            </w:tcBorders>
          </w:tcPr>
          <w:p w:rsidR="00E16F2F" w:rsidRPr="00813647" w:rsidRDefault="00071A4E" w:rsidP="00881BB4">
            <w:pPr>
              <w:jc w:val="right"/>
              <w:rPr>
                <w:rFonts w:ascii="Tahoma" w:hAnsi="Tahoma" w:cs="Tahoma"/>
              </w:rPr>
            </w:pPr>
            <w:r>
              <w:rPr>
                <w:rFonts w:ascii="Tahoma" w:hAnsi="Tahoma" w:cs="Tahoma"/>
              </w:rPr>
              <w:t>40</w:t>
            </w:r>
          </w:p>
        </w:tc>
        <w:tc>
          <w:tcPr>
            <w:tcW w:w="990" w:type="dxa"/>
            <w:tcBorders>
              <w:left w:val="single" w:sz="4" w:space="0" w:color="auto"/>
              <w:bottom w:val="single" w:sz="4" w:space="0" w:color="auto"/>
              <w:right w:val="single" w:sz="4" w:space="0" w:color="auto"/>
            </w:tcBorders>
          </w:tcPr>
          <w:p w:rsidR="00E16F2F" w:rsidRPr="00813647" w:rsidRDefault="00071A4E" w:rsidP="0027540B">
            <w:pPr>
              <w:jc w:val="right"/>
              <w:rPr>
                <w:rFonts w:ascii="Tahoma" w:hAnsi="Tahoma" w:cs="Tahoma"/>
              </w:rPr>
            </w:pPr>
            <w:r>
              <w:rPr>
                <w:rFonts w:ascii="Tahoma" w:hAnsi="Tahoma" w:cs="Tahoma"/>
              </w:rPr>
              <w:t>(1,000)</w:t>
            </w:r>
          </w:p>
        </w:tc>
      </w:tr>
      <w:tr w:rsidR="0022404D" w:rsidRPr="00813647" w:rsidTr="00F55C1F">
        <w:trPr>
          <w:trHeight w:val="350"/>
        </w:trPr>
        <w:tc>
          <w:tcPr>
            <w:tcW w:w="1710" w:type="dxa"/>
            <w:tcBorders>
              <w:top w:val="single" w:sz="4" w:space="0" w:color="auto"/>
              <w:left w:val="single" w:sz="4" w:space="0" w:color="auto"/>
              <w:bottom w:val="single" w:sz="4" w:space="0" w:color="auto"/>
              <w:right w:val="single" w:sz="4" w:space="0" w:color="auto"/>
            </w:tcBorders>
          </w:tcPr>
          <w:p w:rsidR="00E16F2F" w:rsidRPr="00813647" w:rsidRDefault="00E16F2F" w:rsidP="00881BB4">
            <w:pPr>
              <w:jc w:val="both"/>
              <w:rPr>
                <w:rFonts w:ascii="Tahoma" w:hAnsi="Tahoma" w:cs="Tahoma"/>
              </w:rPr>
            </w:pPr>
            <w:r w:rsidRPr="00813647">
              <w:rPr>
                <w:rFonts w:ascii="Tahoma" w:hAnsi="Tahoma" w:cs="Tahoma"/>
              </w:rPr>
              <w:t>Profit</w:t>
            </w:r>
            <w:r w:rsidR="000F57FE" w:rsidRPr="00813647">
              <w:rPr>
                <w:rFonts w:ascii="Tahoma" w:hAnsi="Tahoma" w:cs="Tahoma"/>
              </w:rPr>
              <w:t>/(Loss)</w:t>
            </w:r>
            <w:r w:rsidR="0022404D" w:rsidRPr="00813647">
              <w:rPr>
                <w:rFonts w:ascii="Tahoma" w:hAnsi="Tahoma" w:cs="Tahoma"/>
              </w:rPr>
              <w:t xml:space="preserve"> </w:t>
            </w:r>
            <w:r w:rsidRPr="00813647">
              <w:rPr>
                <w:rFonts w:ascii="Tahoma" w:hAnsi="Tahoma" w:cs="Tahoma"/>
              </w:rPr>
              <w:t>before tax</w:t>
            </w:r>
          </w:p>
        </w:tc>
        <w:tc>
          <w:tcPr>
            <w:tcW w:w="1260" w:type="dxa"/>
            <w:tcBorders>
              <w:top w:val="single" w:sz="4" w:space="0" w:color="auto"/>
              <w:left w:val="nil"/>
              <w:bottom w:val="single" w:sz="4" w:space="0" w:color="auto"/>
              <w:right w:val="single" w:sz="4" w:space="0" w:color="auto"/>
            </w:tcBorders>
          </w:tcPr>
          <w:p w:rsidR="00E16F2F" w:rsidRPr="00813647" w:rsidRDefault="00071A4E" w:rsidP="008D1956">
            <w:pPr>
              <w:jc w:val="right"/>
              <w:rPr>
                <w:rFonts w:ascii="Tahoma" w:hAnsi="Tahoma" w:cs="Tahoma"/>
              </w:rPr>
            </w:pPr>
            <w:r>
              <w:rPr>
                <w:rFonts w:ascii="Tahoma" w:hAnsi="Tahoma" w:cs="Tahoma"/>
              </w:rPr>
              <w:t>6,04</w:t>
            </w:r>
            <w:r w:rsidR="008D1956">
              <w:rPr>
                <w:rFonts w:ascii="Tahoma" w:hAnsi="Tahoma" w:cs="Tahoma"/>
              </w:rPr>
              <w:t>8</w:t>
            </w:r>
          </w:p>
        </w:tc>
        <w:tc>
          <w:tcPr>
            <w:tcW w:w="1080" w:type="dxa"/>
            <w:tcBorders>
              <w:top w:val="single" w:sz="4" w:space="0" w:color="auto"/>
              <w:left w:val="single" w:sz="4" w:space="0" w:color="auto"/>
              <w:bottom w:val="single" w:sz="4" w:space="0" w:color="auto"/>
              <w:right w:val="single" w:sz="4" w:space="0" w:color="auto"/>
            </w:tcBorders>
          </w:tcPr>
          <w:p w:rsidR="00E16F2F" w:rsidRPr="00813647" w:rsidRDefault="00071A4E" w:rsidP="000F57FE">
            <w:pPr>
              <w:jc w:val="right"/>
              <w:rPr>
                <w:rFonts w:ascii="Tahoma" w:hAnsi="Tahoma" w:cs="Tahoma"/>
              </w:rPr>
            </w:pPr>
            <w:r>
              <w:rPr>
                <w:rFonts w:ascii="Tahoma" w:hAnsi="Tahoma" w:cs="Tahoma"/>
              </w:rPr>
              <w:t>16,703</w:t>
            </w:r>
          </w:p>
        </w:tc>
        <w:tc>
          <w:tcPr>
            <w:tcW w:w="900" w:type="dxa"/>
            <w:tcBorders>
              <w:top w:val="single" w:sz="4" w:space="0" w:color="auto"/>
              <w:left w:val="single" w:sz="4" w:space="0" w:color="auto"/>
              <w:bottom w:val="single" w:sz="4" w:space="0" w:color="auto"/>
              <w:right w:val="single" w:sz="4" w:space="0" w:color="auto"/>
            </w:tcBorders>
          </w:tcPr>
          <w:p w:rsidR="00E16F2F" w:rsidRPr="00813647" w:rsidRDefault="00071A4E" w:rsidP="008D1956">
            <w:pPr>
              <w:jc w:val="right"/>
              <w:rPr>
                <w:rFonts w:ascii="Tahoma" w:hAnsi="Tahoma" w:cs="Tahoma"/>
              </w:rPr>
            </w:pPr>
            <w:r>
              <w:rPr>
                <w:rFonts w:ascii="Tahoma" w:hAnsi="Tahoma" w:cs="Tahoma"/>
              </w:rPr>
              <w:t>1,37</w:t>
            </w:r>
            <w:r w:rsidR="008D1956">
              <w:rPr>
                <w:rFonts w:ascii="Tahoma" w:hAnsi="Tahoma" w:cs="Tahoma"/>
              </w:rPr>
              <w:t>2</w:t>
            </w:r>
          </w:p>
        </w:tc>
        <w:tc>
          <w:tcPr>
            <w:tcW w:w="900" w:type="dxa"/>
            <w:tcBorders>
              <w:top w:val="single" w:sz="4" w:space="0" w:color="auto"/>
              <w:left w:val="single" w:sz="4" w:space="0" w:color="auto"/>
              <w:bottom w:val="single" w:sz="4" w:space="0" w:color="auto"/>
              <w:right w:val="single" w:sz="4" w:space="0" w:color="auto"/>
            </w:tcBorders>
          </w:tcPr>
          <w:p w:rsidR="00E16F2F" w:rsidRPr="00813647" w:rsidRDefault="00071A4E" w:rsidP="00C77D73">
            <w:pPr>
              <w:jc w:val="right"/>
              <w:rPr>
                <w:rFonts w:ascii="Tahoma" w:hAnsi="Tahoma" w:cs="Tahoma"/>
              </w:rPr>
            </w:pPr>
            <w:r>
              <w:rPr>
                <w:rFonts w:ascii="Tahoma" w:hAnsi="Tahoma" w:cs="Tahoma"/>
              </w:rPr>
              <w:t>(734)</w:t>
            </w:r>
          </w:p>
        </w:tc>
        <w:tc>
          <w:tcPr>
            <w:tcW w:w="1260" w:type="dxa"/>
            <w:tcBorders>
              <w:top w:val="single" w:sz="4" w:space="0" w:color="auto"/>
              <w:left w:val="single" w:sz="4" w:space="0" w:color="auto"/>
              <w:bottom w:val="single" w:sz="4" w:space="0" w:color="auto"/>
              <w:right w:val="single" w:sz="4" w:space="0" w:color="auto"/>
            </w:tcBorders>
          </w:tcPr>
          <w:p w:rsidR="00E16F2F" w:rsidRPr="00813647" w:rsidRDefault="00071A4E" w:rsidP="00A83711">
            <w:pPr>
              <w:jc w:val="right"/>
              <w:rPr>
                <w:rFonts w:ascii="Tahoma" w:hAnsi="Tahoma" w:cs="Tahoma"/>
              </w:rPr>
            </w:pPr>
            <w:r>
              <w:rPr>
                <w:rFonts w:ascii="Tahoma" w:hAnsi="Tahoma" w:cs="Tahoma"/>
              </w:rPr>
              <w:t>(193)</w:t>
            </w:r>
          </w:p>
        </w:tc>
        <w:tc>
          <w:tcPr>
            <w:tcW w:w="900" w:type="dxa"/>
            <w:tcBorders>
              <w:top w:val="single" w:sz="4" w:space="0" w:color="auto"/>
              <w:left w:val="single" w:sz="4" w:space="0" w:color="auto"/>
              <w:bottom w:val="single" w:sz="4" w:space="0" w:color="auto"/>
              <w:right w:val="single" w:sz="4" w:space="0" w:color="auto"/>
            </w:tcBorders>
          </w:tcPr>
          <w:p w:rsidR="00E16F2F" w:rsidRPr="00813647" w:rsidRDefault="00071A4E" w:rsidP="008D1956">
            <w:pPr>
              <w:jc w:val="right"/>
              <w:rPr>
                <w:rFonts w:ascii="Tahoma" w:hAnsi="Tahoma" w:cs="Tahoma"/>
              </w:rPr>
            </w:pPr>
            <w:r>
              <w:rPr>
                <w:rFonts w:ascii="Tahoma" w:hAnsi="Tahoma" w:cs="Tahoma"/>
              </w:rPr>
              <w:t>(4</w:t>
            </w:r>
            <w:r w:rsidR="008D1956">
              <w:rPr>
                <w:rFonts w:ascii="Tahoma" w:hAnsi="Tahoma" w:cs="Tahoma"/>
              </w:rPr>
              <w:t>6</w:t>
            </w:r>
            <w:r>
              <w:rPr>
                <w:rFonts w:ascii="Tahoma" w:hAnsi="Tahoma" w:cs="Tahoma"/>
              </w:rPr>
              <w:t>)</w:t>
            </w:r>
          </w:p>
        </w:tc>
        <w:tc>
          <w:tcPr>
            <w:tcW w:w="1260" w:type="dxa"/>
            <w:tcBorders>
              <w:top w:val="single" w:sz="4" w:space="0" w:color="auto"/>
              <w:left w:val="single" w:sz="4" w:space="0" w:color="auto"/>
              <w:bottom w:val="single" w:sz="4" w:space="0" w:color="auto"/>
            </w:tcBorders>
          </w:tcPr>
          <w:p w:rsidR="00E16F2F" w:rsidRPr="00813647" w:rsidRDefault="00071A4E" w:rsidP="0027540B">
            <w:pPr>
              <w:jc w:val="right"/>
              <w:rPr>
                <w:rFonts w:ascii="Tahoma" w:hAnsi="Tahoma" w:cs="Tahoma"/>
              </w:rPr>
            </w:pPr>
            <w:r>
              <w:rPr>
                <w:rFonts w:ascii="Tahoma" w:hAnsi="Tahoma" w:cs="Tahoma"/>
              </w:rPr>
              <w:t>(8,090)</w:t>
            </w:r>
          </w:p>
        </w:tc>
        <w:tc>
          <w:tcPr>
            <w:tcW w:w="990" w:type="dxa"/>
            <w:tcBorders>
              <w:top w:val="single" w:sz="4" w:space="0" w:color="auto"/>
              <w:left w:val="single" w:sz="4" w:space="0" w:color="auto"/>
              <w:bottom w:val="single" w:sz="4" w:space="0" w:color="auto"/>
              <w:right w:val="single" w:sz="4" w:space="0" w:color="auto"/>
            </w:tcBorders>
          </w:tcPr>
          <w:p w:rsidR="00E16F2F" w:rsidRPr="00813647" w:rsidRDefault="00501D05" w:rsidP="00FD5059">
            <w:pPr>
              <w:jc w:val="right"/>
              <w:rPr>
                <w:rFonts w:ascii="Tahoma" w:hAnsi="Tahoma" w:cs="Tahoma"/>
              </w:rPr>
            </w:pPr>
            <w:r>
              <w:rPr>
                <w:rFonts w:ascii="Tahoma" w:hAnsi="Tahoma" w:cs="Tahoma"/>
              </w:rPr>
              <w:t>15,060</w:t>
            </w:r>
          </w:p>
        </w:tc>
      </w:tr>
    </w:tbl>
    <w:p w:rsidR="0007146A" w:rsidRPr="00813647" w:rsidRDefault="0007146A" w:rsidP="00685961">
      <w:pPr>
        <w:rPr>
          <w:rFonts w:ascii="Tahoma" w:hAnsi="Tahoma" w:cs="Tahoma"/>
        </w:rPr>
      </w:pPr>
    </w:p>
    <w:p w:rsidR="00685961" w:rsidRPr="00F55C1F" w:rsidRDefault="001D556D" w:rsidP="00685961">
      <w:pPr>
        <w:rPr>
          <w:rFonts w:ascii="Tahoma" w:hAnsi="Tahoma" w:cs="Tahoma"/>
          <w:i/>
        </w:rPr>
      </w:pPr>
      <w:r w:rsidRPr="00813647">
        <w:rPr>
          <w:rFonts w:ascii="Tahoma" w:hAnsi="Tahoma" w:cs="Tahoma"/>
        </w:rPr>
        <w:tab/>
      </w:r>
      <w:r w:rsidR="00A06AA4">
        <w:rPr>
          <w:rFonts w:ascii="Tahoma" w:hAnsi="Tahoma" w:cs="Tahoma"/>
          <w:i/>
        </w:rPr>
        <w:t>Geographical segment</w:t>
      </w:r>
    </w:p>
    <w:p w:rsidR="001D556D" w:rsidRPr="00F55C1F" w:rsidRDefault="00A06AA4" w:rsidP="001D556D">
      <w:pPr>
        <w:tabs>
          <w:tab w:val="center" w:pos="5040"/>
          <w:tab w:val="center" w:pos="6480"/>
          <w:tab w:val="center" w:pos="7920"/>
        </w:tabs>
        <w:ind w:left="720"/>
        <w:rPr>
          <w:rFonts w:ascii="Tahoma" w:hAnsi="Tahoma" w:cs="Tahoma"/>
        </w:rPr>
      </w:pPr>
      <w:r>
        <w:rPr>
          <w:rFonts w:ascii="Tahoma" w:hAnsi="Tahoma" w:cs="Tahoma"/>
        </w:rPr>
        <w:tab/>
        <w:t>Malaysia</w:t>
      </w:r>
      <w:r>
        <w:rPr>
          <w:rFonts w:ascii="Tahoma" w:hAnsi="Tahoma" w:cs="Tahoma"/>
        </w:rPr>
        <w:tab/>
        <w:t>Indonesia</w:t>
      </w:r>
      <w:r>
        <w:rPr>
          <w:rFonts w:ascii="Tahoma" w:hAnsi="Tahoma" w:cs="Tahoma"/>
        </w:rPr>
        <w:tab/>
        <w:t>Total</w:t>
      </w:r>
    </w:p>
    <w:p w:rsidR="001D556D" w:rsidRPr="00F55C1F" w:rsidRDefault="00A06AA4" w:rsidP="001D556D">
      <w:pPr>
        <w:tabs>
          <w:tab w:val="center" w:pos="5040"/>
          <w:tab w:val="center" w:pos="6480"/>
          <w:tab w:val="center" w:pos="7920"/>
        </w:tabs>
        <w:ind w:left="720"/>
        <w:rPr>
          <w:rFonts w:ascii="Tahoma" w:hAnsi="Tahoma" w:cs="Tahoma"/>
        </w:rPr>
      </w:pPr>
      <w:r>
        <w:rPr>
          <w:rFonts w:ascii="Tahoma" w:hAnsi="Tahoma" w:cs="Tahoma"/>
        </w:rPr>
        <w:tab/>
        <w:t>RM’000</w:t>
      </w:r>
      <w:r>
        <w:rPr>
          <w:rFonts w:ascii="Tahoma" w:hAnsi="Tahoma" w:cs="Tahoma"/>
        </w:rPr>
        <w:tab/>
        <w:t>RM’000</w:t>
      </w:r>
      <w:r>
        <w:rPr>
          <w:rFonts w:ascii="Tahoma" w:hAnsi="Tahoma" w:cs="Tahoma"/>
        </w:rPr>
        <w:tab/>
        <w:t>RM’000</w:t>
      </w:r>
    </w:p>
    <w:p w:rsidR="001D556D" w:rsidRPr="00F55C1F" w:rsidRDefault="00A06AA4" w:rsidP="001D556D">
      <w:pPr>
        <w:tabs>
          <w:tab w:val="decimal" w:pos="5400"/>
          <w:tab w:val="decimal" w:pos="6840"/>
          <w:tab w:val="decimal" w:pos="8280"/>
        </w:tabs>
        <w:ind w:left="720"/>
        <w:rPr>
          <w:rFonts w:ascii="Tahoma" w:hAnsi="Tahoma" w:cs="Tahoma"/>
        </w:rPr>
      </w:pPr>
      <w:r>
        <w:rPr>
          <w:rFonts w:ascii="Tahoma" w:hAnsi="Tahoma" w:cs="Tahoma"/>
        </w:rPr>
        <w:t>Revenue</w:t>
      </w:r>
    </w:p>
    <w:p w:rsidR="001D556D" w:rsidRPr="00F55C1F" w:rsidRDefault="00A06AA4" w:rsidP="004C37D7">
      <w:pPr>
        <w:tabs>
          <w:tab w:val="decimal" w:pos="5400"/>
          <w:tab w:val="decimal" w:pos="6840"/>
          <w:tab w:val="decimal" w:pos="8280"/>
        </w:tabs>
        <w:ind w:left="780"/>
        <w:rPr>
          <w:rFonts w:ascii="Tahoma" w:hAnsi="Tahoma" w:cs="Tahoma"/>
        </w:rPr>
      </w:pPr>
      <w:r>
        <w:rPr>
          <w:rFonts w:ascii="Tahoma" w:hAnsi="Tahoma" w:cs="Tahoma"/>
        </w:rPr>
        <w:t>Total</w:t>
      </w:r>
      <w:r>
        <w:rPr>
          <w:rFonts w:ascii="Tahoma" w:hAnsi="Tahoma" w:cs="Tahoma"/>
        </w:rPr>
        <w:tab/>
      </w:r>
      <w:r w:rsidR="008D1956">
        <w:rPr>
          <w:rFonts w:ascii="Tahoma" w:hAnsi="Tahoma" w:cs="Tahoma"/>
        </w:rPr>
        <w:t>163,346</w:t>
      </w:r>
      <w:r>
        <w:rPr>
          <w:rFonts w:ascii="Tahoma" w:hAnsi="Tahoma" w:cs="Tahoma"/>
        </w:rPr>
        <w:tab/>
        <w:t>9,588</w:t>
      </w:r>
      <w:r>
        <w:rPr>
          <w:rFonts w:ascii="Tahoma" w:hAnsi="Tahoma" w:cs="Tahoma"/>
        </w:rPr>
        <w:tab/>
        <w:t>1</w:t>
      </w:r>
      <w:r w:rsidR="008D1956">
        <w:rPr>
          <w:rFonts w:ascii="Tahoma" w:hAnsi="Tahoma" w:cs="Tahoma"/>
        </w:rPr>
        <w:t>7</w:t>
      </w:r>
      <w:r>
        <w:rPr>
          <w:rFonts w:ascii="Tahoma" w:hAnsi="Tahoma" w:cs="Tahoma"/>
        </w:rPr>
        <w:t>2,</w:t>
      </w:r>
      <w:r w:rsidR="008D1956">
        <w:rPr>
          <w:rFonts w:ascii="Tahoma" w:hAnsi="Tahoma" w:cs="Tahoma"/>
        </w:rPr>
        <w:t>934</w:t>
      </w:r>
    </w:p>
    <w:p w:rsidR="001D556D" w:rsidRPr="00F55C1F" w:rsidRDefault="00A06AA4" w:rsidP="001D556D">
      <w:pPr>
        <w:tabs>
          <w:tab w:val="decimal" w:pos="5400"/>
          <w:tab w:val="decimal" w:pos="6840"/>
          <w:tab w:val="decimal" w:pos="8280"/>
        </w:tabs>
        <w:ind w:left="780"/>
        <w:rPr>
          <w:rFonts w:ascii="Tahoma" w:hAnsi="Tahoma" w:cs="Tahoma"/>
        </w:rPr>
      </w:pPr>
      <w:r>
        <w:rPr>
          <w:rFonts w:ascii="Tahoma" w:hAnsi="Tahoma" w:cs="Tahoma"/>
        </w:rPr>
        <w:t>Internal</w:t>
      </w:r>
      <w:r>
        <w:rPr>
          <w:rFonts w:ascii="Tahoma" w:hAnsi="Tahoma" w:cs="Tahoma"/>
        </w:rPr>
        <w:tab/>
      </w:r>
      <w:r>
        <w:rPr>
          <w:rFonts w:ascii="Tahoma" w:hAnsi="Tahoma" w:cs="Tahoma"/>
          <w:u w:val="single"/>
        </w:rPr>
        <w:t xml:space="preserve"> (19,480)</w:t>
      </w:r>
      <w:r>
        <w:rPr>
          <w:rFonts w:ascii="Tahoma" w:hAnsi="Tahoma" w:cs="Tahoma"/>
          <w:u w:val="single"/>
        </w:rPr>
        <w:tab/>
        <w:t>(1,287)</w:t>
      </w:r>
      <w:r>
        <w:rPr>
          <w:rFonts w:ascii="Tahoma" w:hAnsi="Tahoma" w:cs="Tahoma"/>
          <w:u w:val="single"/>
        </w:rPr>
        <w:tab/>
        <w:t>(20,767)</w:t>
      </w:r>
      <w:r>
        <w:rPr>
          <w:rFonts w:ascii="Tahoma" w:hAnsi="Tahoma" w:cs="Tahoma"/>
        </w:rPr>
        <w:tab/>
      </w:r>
    </w:p>
    <w:p w:rsidR="001D556D" w:rsidRPr="00F55C1F" w:rsidRDefault="00A06AA4" w:rsidP="001D556D">
      <w:pPr>
        <w:tabs>
          <w:tab w:val="decimal" w:pos="5400"/>
          <w:tab w:val="decimal" w:pos="6840"/>
          <w:tab w:val="decimal" w:pos="8280"/>
        </w:tabs>
        <w:ind w:left="780"/>
        <w:rPr>
          <w:rFonts w:ascii="Tahoma" w:hAnsi="Tahoma" w:cs="Tahoma"/>
          <w:u w:val="double"/>
        </w:rPr>
      </w:pPr>
      <w:r>
        <w:rPr>
          <w:rFonts w:ascii="Tahoma" w:hAnsi="Tahoma" w:cs="Tahoma"/>
        </w:rPr>
        <w:t>External</w:t>
      </w:r>
      <w:r>
        <w:rPr>
          <w:rFonts w:ascii="Tahoma" w:hAnsi="Tahoma" w:cs="Tahoma"/>
        </w:rPr>
        <w:tab/>
      </w:r>
      <w:r w:rsidR="008D1956">
        <w:rPr>
          <w:rFonts w:ascii="Tahoma" w:hAnsi="Tahoma" w:cs="Tahoma"/>
          <w:u w:val="double"/>
        </w:rPr>
        <w:t>143,866</w:t>
      </w:r>
      <w:r>
        <w:rPr>
          <w:rFonts w:ascii="Tahoma" w:hAnsi="Tahoma" w:cs="Tahoma"/>
          <w:u w:val="double"/>
        </w:rPr>
        <w:t xml:space="preserve">  </w:t>
      </w:r>
      <w:r>
        <w:rPr>
          <w:rFonts w:ascii="Tahoma" w:hAnsi="Tahoma" w:cs="Tahoma"/>
          <w:u w:val="double"/>
        </w:rPr>
        <w:tab/>
        <w:t>8,301</w:t>
      </w:r>
      <w:r>
        <w:rPr>
          <w:rFonts w:ascii="Tahoma" w:hAnsi="Tahoma" w:cs="Tahoma"/>
          <w:u w:val="double"/>
        </w:rPr>
        <w:tab/>
      </w:r>
      <w:r w:rsidR="008D1956">
        <w:rPr>
          <w:rFonts w:ascii="Tahoma" w:hAnsi="Tahoma" w:cs="Tahoma"/>
          <w:u w:val="double"/>
        </w:rPr>
        <w:t>152,167</w:t>
      </w:r>
      <w:r>
        <w:rPr>
          <w:rFonts w:ascii="Tahoma" w:hAnsi="Tahoma" w:cs="Tahoma"/>
          <w:u w:val="double"/>
        </w:rPr>
        <w:t xml:space="preserve">  </w:t>
      </w:r>
    </w:p>
    <w:p w:rsidR="00BA3715" w:rsidRPr="00F55C1F" w:rsidRDefault="00BA3715" w:rsidP="001D556D">
      <w:pPr>
        <w:tabs>
          <w:tab w:val="decimal" w:pos="5400"/>
          <w:tab w:val="decimal" w:pos="6840"/>
          <w:tab w:val="decimal" w:pos="8280"/>
        </w:tabs>
        <w:ind w:left="780"/>
        <w:rPr>
          <w:rFonts w:ascii="Tahoma" w:hAnsi="Tahoma" w:cs="Tahoma"/>
        </w:rPr>
      </w:pPr>
    </w:p>
    <w:p w:rsidR="00BA3715" w:rsidRPr="00813647" w:rsidRDefault="00A06AA4" w:rsidP="001D556D">
      <w:pPr>
        <w:tabs>
          <w:tab w:val="decimal" w:pos="5400"/>
          <w:tab w:val="decimal" w:pos="6840"/>
          <w:tab w:val="decimal" w:pos="8280"/>
        </w:tabs>
        <w:ind w:left="780"/>
        <w:rPr>
          <w:rFonts w:ascii="Tahoma" w:hAnsi="Tahoma" w:cs="Tahoma"/>
          <w:u w:val="double"/>
        </w:rPr>
      </w:pPr>
      <w:r>
        <w:rPr>
          <w:rFonts w:ascii="Tahoma" w:hAnsi="Tahoma" w:cs="Tahoma"/>
        </w:rPr>
        <w:t>Profit before tax</w:t>
      </w:r>
      <w:r>
        <w:rPr>
          <w:rFonts w:ascii="Tahoma" w:hAnsi="Tahoma" w:cs="Tahoma"/>
        </w:rPr>
        <w:tab/>
      </w:r>
      <w:r>
        <w:rPr>
          <w:rFonts w:ascii="Tahoma" w:hAnsi="Tahoma" w:cs="Tahoma"/>
          <w:u w:val="double"/>
        </w:rPr>
        <w:t xml:space="preserve">  15,715</w:t>
      </w:r>
      <w:r>
        <w:rPr>
          <w:rFonts w:ascii="Tahoma" w:hAnsi="Tahoma" w:cs="Tahoma"/>
          <w:u w:val="double"/>
        </w:rPr>
        <w:tab/>
        <w:t>(655)</w:t>
      </w:r>
      <w:r>
        <w:rPr>
          <w:rFonts w:ascii="Tahoma" w:hAnsi="Tahoma" w:cs="Tahoma"/>
          <w:u w:val="double"/>
        </w:rPr>
        <w:tab/>
        <w:t>15,060</w:t>
      </w:r>
    </w:p>
    <w:p w:rsidR="00DD7889" w:rsidRPr="00813647" w:rsidRDefault="00DD7889" w:rsidP="00F95DA3">
      <w:pPr>
        <w:tabs>
          <w:tab w:val="decimal" w:pos="5400"/>
          <w:tab w:val="decimal" w:pos="6840"/>
          <w:tab w:val="decimal" w:pos="8280"/>
        </w:tabs>
        <w:ind w:left="720"/>
        <w:jc w:val="both"/>
        <w:rPr>
          <w:rFonts w:ascii="Tahoma" w:hAnsi="Tahoma" w:cs="Tahoma"/>
        </w:rPr>
      </w:pPr>
    </w:p>
    <w:p w:rsidR="00BA3715" w:rsidRPr="00813647" w:rsidRDefault="00E920C4" w:rsidP="00F95DA3">
      <w:pPr>
        <w:tabs>
          <w:tab w:val="decimal" w:pos="5400"/>
          <w:tab w:val="decimal" w:pos="6840"/>
          <w:tab w:val="decimal" w:pos="8280"/>
        </w:tabs>
        <w:ind w:left="720"/>
        <w:jc w:val="both"/>
        <w:rPr>
          <w:rFonts w:ascii="Tahoma" w:hAnsi="Tahoma" w:cs="Tahoma"/>
        </w:rPr>
      </w:pPr>
      <w:r w:rsidRPr="00813647">
        <w:rPr>
          <w:rFonts w:ascii="Tahoma" w:hAnsi="Tahoma" w:cs="Tahoma"/>
        </w:rPr>
        <w:t>The Group</w:t>
      </w:r>
      <w:r w:rsidR="00F95DA3" w:rsidRPr="00813647">
        <w:rPr>
          <w:rFonts w:ascii="Tahoma" w:hAnsi="Tahoma" w:cs="Tahoma"/>
        </w:rPr>
        <w:t xml:space="preserve"> operates primarily in Malaysia, except</w:t>
      </w:r>
      <w:r w:rsidR="005A6299" w:rsidRPr="00813647">
        <w:rPr>
          <w:rFonts w:ascii="Tahoma" w:hAnsi="Tahoma" w:cs="Tahoma"/>
        </w:rPr>
        <w:t xml:space="preserve"> for</w:t>
      </w:r>
      <w:r w:rsidR="00F95DA3" w:rsidRPr="00813647">
        <w:rPr>
          <w:rFonts w:ascii="Tahoma" w:hAnsi="Tahoma" w:cs="Tahoma"/>
        </w:rPr>
        <w:t xml:space="preserve"> one subsidiary</w:t>
      </w:r>
      <w:r w:rsidR="005A6299" w:rsidRPr="00813647">
        <w:rPr>
          <w:rFonts w:ascii="Tahoma" w:hAnsi="Tahoma" w:cs="Tahoma"/>
        </w:rPr>
        <w:t xml:space="preserve"> whose</w:t>
      </w:r>
      <w:r w:rsidR="00F95DA3" w:rsidRPr="00813647">
        <w:rPr>
          <w:rFonts w:ascii="Tahoma" w:hAnsi="Tahoma" w:cs="Tahoma"/>
        </w:rPr>
        <w:t xml:space="preserve"> principal activities </w:t>
      </w:r>
      <w:r w:rsidR="005A6299" w:rsidRPr="00813647">
        <w:rPr>
          <w:rFonts w:ascii="Tahoma" w:hAnsi="Tahoma" w:cs="Tahoma"/>
        </w:rPr>
        <w:t>includes</w:t>
      </w:r>
      <w:r w:rsidR="008530D2" w:rsidRPr="00813647">
        <w:rPr>
          <w:rFonts w:ascii="Tahoma" w:hAnsi="Tahoma" w:cs="Tahoma"/>
        </w:rPr>
        <w:t xml:space="preserve"> </w:t>
      </w:r>
      <w:r w:rsidR="00F95DA3" w:rsidRPr="00813647">
        <w:rPr>
          <w:rFonts w:ascii="Tahoma" w:hAnsi="Tahoma" w:cs="Tahoma"/>
        </w:rPr>
        <w:t>pressure treatment</w:t>
      </w:r>
      <w:r w:rsidR="005A6299" w:rsidRPr="00813647">
        <w:rPr>
          <w:rFonts w:ascii="Tahoma" w:hAnsi="Tahoma" w:cs="Tahoma"/>
        </w:rPr>
        <w:t xml:space="preserve"> and</w:t>
      </w:r>
      <w:r w:rsidR="00F95DA3" w:rsidRPr="00813647">
        <w:rPr>
          <w:rFonts w:ascii="Tahoma" w:hAnsi="Tahoma" w:cs="Tahoma"/>
        </w:rPr>
        <w:t xml:space="preserve"> kiln drying of rubberwood</w:t>
      </w:r>
      <w:r w:rsidR="005A6299" w:rsidRPr="00813647">
        <w:rPr>
          <w:rFonts w:ascii="Tahoma" w:hAnsi="Tahoma" w:cs="Tahoma"/>
        </w:rPr>
        <w:t>,</w:t>
      </w:r>
      <w:r w:rsidR="00F95DA3" w:rsidRPr="00813647">
        <w:rPr>
          <w:rFonts w:ascii="Tahoma" w:hAnsi="Tahoma" w:cs="Tahoma"/>
        </w:rPr>
        <w:t xml:space="preserve"> and</w:t>
      </w:r>
      <w:r w:rsidR="008530D2" w:rsidRPr="00813647">
        <w:rPr>
          <w:rFonts w:ascii="Tahoma" w:hAnsi="Tahoma" w:cs="Tahoma"/>
        </w:rPr>
        <w:t xml:space="preserve"> manufacturing of</w:t>
      </w:r>
      <w:r w:rsidR="00F95DA3" w:rsidRPr="00813647">
        <w:rPr>
          <w:rFonts w:ascii="Tahoma" w:hAnsi="Tahoma" w:cs="Tahoma"/>
        </w:rPr>
        <w:t xml:space="preserve"> furniture parts</w:t>
      </w:r>
      <w:r w:rsidR="005A6299" w:rsidRPr="00813647">
        <w:rPr>
          <w:rFonts w:ascii="Tahoma" w:hAnsi="Tahoma" w:cs="Tahoma"/>
        </w:rPr>
        <w:t xml:space="preserve"> which</w:t>
      </w:r>
      <w:r w:rsidR="00F95DA3" w:rsidRPr="00813647">
        <w:rPr>
          <w:rFonts w:ascii="Tahoma" w:hAnsi="Tahoma" w:cs="Tahoma"/>
        </w:rPr>
        <w:t xml:space="preserve"> operate</w:t>
      </w:r>
      <w:r w:rsidR="005A6299" w:rsidRPr="00813647">
        <w:rPr>
          <w:rFonts w:ascii="Tahoma" w:hAnsi="Tahoma" w:cs="Tahoma"/>
        </w:rPr>
        <w:t>s</w:t>
      </w:r>
      <w:r w:rsidR="00F95DA3" w:rsidRPr="00813647">
        <w:rPr>
          <w:rFonts w:ascii="Tahoma" w:hAnsi="Tahoma" w:cs="Tahoma"/>
        </w:rPr>
        <w:t xml:space="preserve"> in Medan, Indonesia.</w:t>
      </w:r>
    </w:p>
    <w:p w:rsidR="004041BE" w:rsidRPr="00813647" w:rsidRDefault="004041BE" w:rsidP="00F95DA3">
      <w:pPr>
        <w:tabs>
          <w:tab w:val="decimal" w:pos="5400"/>
          <w:tab w:val="decimal" w:pos="6840"/>
          <w:tab w:val="decimal" w:pos="8280"/>
        </w:tabs>
        <w:ind w:left="720"/>
        <w:jc w:val="both"/>
        <w:rPr>
          <w:rFonts w:ascii="Tahoma" w:hAnsi="Tahoma" w:cs="Tahoma"/>
        </w:rPr>
      </w:pPr>
    </w:p>
    <w:p w:rsidR="00E46EEF" w:rsidRPr="00813647" w:rsidRDefault="00E46EEF" w:rsidP="00F95DA3">
      <w:pPr>
        <w:tabs>
          <w:tab w:val="decimal" w:pos="5400"/>
          <w:tab w:val="decimal" w:pos="6840"/>
          <w:tab w:val="decimal" w:pos="8280"/>
        </w:tabs>
        <w:ind w:left="720"/>
        <w:jc w:val="both"/>
        <w:rPr>
          <w:rFonts w:ascii="Tahoma" w:hAnsi="Tahoma" w:cs="Tahoma"/>
        </w:rPr>
      </w:pPr>
    </w:p>
    <w:p w:rsidR="00E4791B" w:rsidRPr="00813647" w:rsidRDefault="00E4791B" w:rsidP="0007146A">
      <w:pPr>
        <w:pStyle w:val="Heading4"/>
        <w:rPr>
          <w:rFonts w:cs="Tahoma"/>
          <w:sz w:val="20"/>
          <w:lang w:eastAsia="zh-CN"/>
        </w:rPr>
      </w:pPr>
      <w:r w:rsidRPr="00813647">
        <w:rPr>
          <w:rFonts w:cs="Tahoma"/>
          <w:sz w:val="20"/>
          <w:lang w:eastAsia="zh-CN"/>
        </w:rPr>
        <w:t>A9.</w:t>
      </w:r>
      <w:r w:rsidRPr="00813647">
        <w:rPr>
          <w:rFonts w:cs="Tahoma"/>
          <w:sz w:val="20"/>
          <w:lang w:eastAsia="zh-CN"/>
        </w:rPr>
        <w:tab/>
        <w:t>Property, Plant and Equipment</w:t>
      </w:r>
    </w:p>
    <w:p w:rsidR="00F47CDC" w:rsidRPr="00813647" w:rsidRDefault="0024506F" w:rsidP="00D71E72">
      <w:pPr>
        <w:rPr>
          <w:rFonts w:ascii="Tahoma" w:hAnsi="Tahoma" w:cs="Tahoma"/>
        </w:rPr>
      </w:pPr>
      <w:r w:rsidRPr="00813647">
        <w:rPr>
          <w:rFonts w:ascii="Tahoma" w:hAnsi="Tahoma" w:cs="Tahoma"/>
        </w:rPr>
        <w:tab/>
      </w:r>
    </w:p>
    <w:p w:rsidR="00A71130" w:rsidRPr="00101F03" w:rsidRDefault="00A71130" w:rsidP="00A71130">
      <w:pPr>
        <w:ind w:left="720"/>
        <w:jc w:val="both"/>
        <w:rPr>
          <w:rFonts w:ascii="Tahoma" w:hAnsi="Tahoma" w:cs="Tahoma"/>
          <w:lang w:eastAsia="zh-CN"/>
        </w:rPr>
      </w:pPr>
      <w:r w:rsidRPr="00101F03">
        <w:rPr>
          <w:rFonts w:ascii="Tahoma" w:hAnsi="Tahoma" w:cs="Tahoma"/>
          <w:lang w:eastAsia="zh-CN"/>
        </w:rPr>
        <w:t xml:space="preserve">There were no significant acquisitions or disposals of property, plant and equipment for the period ended 31 </w:t>
      </w:r>
      <w:r>
        <w:rPr>
          <w:rFonts w:ascii="Tahoma" w:hAnsi="Tahoma" w:cs="Tahoma"/>
          <w:lang w:eastAsia="zh-CN"/>
        </w:rPr>
        <w:t>January 2016</w:t>
      </w:r>
      <w:r w:rsidRPr="00101F03">
        <w:rPr>
          <w:rFonts w:ascii="Tahoma" w:hAnsi="Tahoma" w:cs="Tahoma"/>
          <w:lang w:eastAsia="zh-CN"/>
        </w:rPr>
        <w:t>.</w:t>
      </w:r>
    </w:p>
    <w:p w:rsidR="00A71130" w:rsidRPr="00101F03" w:rsidRDefault="00A71130" w:rsidP="00A71130">
      <w:pPr>
        <w:jc w:val="both"/>
        <w:rPr>
          <w:rFonts w:ascii="Tahoma" w:hAnsi="Tahoma" w:cs="Tahoma"/>
          <w:lang w:eastAsia="zh-CN"/>
        </w:rPr>
      </w:pPr>
    </w:p>
    <w:p w:rsidR="00A71130" w:rsidRPr="00101F03" w:rsidRDefault="00A71130" w:rsidP="00A71130">
      <w:pPr>
        <w:ind w:left="720"/>
        <w:jc w:val="both"/>
        <w:rPr>
          <w:rFonts w:ascii="Tahoma" w:hAnsi="Tahoma" w:cs="Tahoma"/>
          <w:lang w:eastAsia="zh-CN"/>
        </w:rPr>
      </w:pPr>
      <w:r w:rsidRPr="00101F03">
        <w:rPr>
          <w:rFonts w:ascii="Tahoma" w:hAnsi="Tahoma" w:cs="Tahoma"/>
          <w:lang w:eastAsia="zh-CN"/>
        </w:rPr>
        <w:t xml:space="preserve">There were no commitments for the purchase of property, plant and equipment for the period ended 31 </w:t>
      </w:r>
      <w:r>
        <w:rPr>
          <w:rFonts w:ascii="Tahoma" w:hAnsi="Tahoma" w:cs="Tahoma"/>
          <w:lang w:eastAsia="zh-CN"/>
        </w:rPr>
        <w:t>January 2016</w:t>
      </w:r>
      <w:r w:rsidRPr="00101F03">
        <w:rPr>
          <w:rFonts w:ascii="Tahoma" w:hAnsi="Tahoma" w:cs="Tahoma"/>
          <w:lang w:eastAsia="zh-CN"/>
        </w:rPr>
        <w:t>.</w:t>
      </w:r>
    </w:p>
    <w:p w:rsidR="00101F03" w:rsidRPr="00813647" w:rsidRDefault="00101F03" w:rsidP="00C40791">
      <w:pPr>
        <w:ind w:left="720"/>
        <w:jc w:val="both"/>
        <w:rPr>
          <w:rFonts w:ascii="Tahoma" w:hAnsi="Tahoma" w:cs="Tahoma"/>
          <w:lang w:eastAsia="zh-CN"/>
        </w:rPr>
      </w:pPr>
    </w:p>
    <w:p w:rsidR="00AB68E3" w:rsidRPr="00813647" w:rsidRDefault="00AB68E3" w:rsidP="00C40791">
      <w:pPr>
        <w:ind w:left="720"/>
        <w:jc w:val="both"/>
        <w:rPr>
          <w:rFonts w:ascii="Tahoma" w:hAnsi="Tahoma" w:cs="Tahoma"/>
          <w:lang w:eastAsia="zh-CN"/>
        </w:rPr>
      </w:pPr>
    </w:p>
    <w:p w:rsidR="00C945B0" w:rsidRPr="00813647" w:rsidRDefault="00C945B0">
      <w:pPr>
        <w:pStyle w:val="Heading4"/>
        <w:rPr>
          <w:rFonts w:cs="Tahoma"/>
          <w:sz w:val="20"/>
        </w:rPr>
      </w:pPr>
      <w:r w:rsidRPr="00813647">
        <w:rPr>
          <w:rFonts w:cs="Tahoma"/>
          <w:sz w:val="20"/>
        </w:rPr>
        <w:t>A1</w:t>
      </w:r>
      <w:r w:rsidR="00A730D1" w:rsidRPr="00813647">
        <w:rPr>
          <w:rFonts w:cs="Tahoma"/>
          <w:sz w:val="20"/>
        </w:rPr>
        <w:t>0</w:t>
      </w:r>
      <w:r w:rsidRPr="00813647">
        <w:rPr>
          <w:rFonts w:cs="Tahoma"/>
          <w:sz w:val="20"/>
        </w:rPr>
        <w:t>.</w:t>
      </w:r>
      <w:r w:rsidRPr="00813647">
        <w:rPr>
          <w:rFonts w:cs="Tahoma"/>
          <w:sz w:val="20"/>
        </w:rPr>
        <w:tab/>
      </w:r>
      <w:r w:rsidR="000043E1" w:rsidRPr="00813647">
        <w:rPr>
          <w:rFonts w:cs="Tahoma"/>
          <w:sz w:val="20"/>
        </w:rPr>
        <w:t xml:space="preserve">Subsequent </w:t>
      </w:r>
      <w:r w:rsidR="00D07222">
        <w:rPr>
          <w:rFonts w:cs="Tahoma"/>
          <w:sz w:val="20"/>
        </w:rPr>
        <w:t>E</w:t>
      </w:r>
      <w:r w:rsidR="000043E1" w:rsidRPr="00813647">
        <w:rPr>
          <w:rFonts w:cs="Tahoma"/>
          <w:sz w:val="20"/>
        </w:rPr>
        <w:t>vents</w:t>
      </w:r>
    </w:p>
    <w:p w:rsidR="00425E76" w:rsidRPr="00813647" w:rsidRDefault="00425E76">
      <w:pPr>
        <w:ind w:left="720"/>
        <w:jc w:val="both"/>
        <w:rPr>
          <w:rFonts w:ascii="Tahoma" w:hAnsi="Tahoma" w:cs="Tahoma"/>
          <w:color w:val="FF0000"/>
        </w:rPr>
      </w:pPr>
    </w:p>
    <w:p w:rsidR="00101F03" w:rsidRPr="00813647" w:rsidRDefault="00B57CBF" w:rsidP="00B57CBF">
      <w:pPr>
        <w:pStyle w:val="NormalWeb"/>
        <w:shd w:val="clear" w:color="auto" w:fill="FFFFFF"/>
        <w:spacing w:before="0" w:beforeAutospacing="0" w:after="0" w:afterAutospacing="0" w:line="240" w:lineRule="atLeast"/>
        <w:ind w:left="720"/>
        <w:jc w:val="both"/>
        <w:rPr>
          <w:rFonts w:ascii="Tahoma" w:hAnsi="Tahoma" w:cs="Tahoma"/>
          <w:color w:val="000000"/>
          <w:sz w:val="20"/>
          <w:szCs w:val="20"/>
        </w:rPr>
      </w:pPr>
      <w:r w:rsidRPr="00813647">
        <w:rPr>
          <w:rFonts w:ascii="Tahoma" w:hAnsi="Tahoma" w:cs="Tahoma"/>
          <w:sz w:val="20"/>
          <w:szCs w:val="20"/>
        </w:rPr>
        <w:t>The Group does not have any material events subsequent to the end of the period.</w:t>
      </w:r>
      <w:r w:rsidR="00101F03" w:rsidRPr="00813647">
        <w:rPr>
          <w:rFonts w:ascii="Tahoma" w:hAnsi="Tahoma" w:cs="Tahoma"/>
          <w:color w:val="000000"/>
          <w:sz w:val="20"/>
          <w:szCs w:val="20"/>
        </w:rPr>
        <w:t> </w:t>
      </w:r>
    </w:p>
    <w:p w:rsidR="00C40791" w:rsidRPr="00813647" w:rsidRDefault="00C40791" w:rsidP="00B730A8">
      <w:pPr>
        <w:jc w:val="both"/>
        <w:rPr>
          <w:rFonts w:ascii="Tahoma" w:hAnsi="Tahoma" w:cs="Tahoma"/>
        </w:rPr>
      </w:pPr>
    </w:p>
    <w:p w:rsidR="00AB68E3" w:rsidRPr="00813647" w:rsidRDefault="00AB68E3" w:rsidP="00B730A8">
      <w:pPr>
        <w:jc w:val="both"/>
        <w:rPr>
          <w:rFonts w:ascii="Tahoma" w:hAnsi="Tahoma" w:cs="Tahoma"/>
        </w:rPr>
      </w:pPr>
    </w:p>
    <w:p w:rsidR="00587A2E" w:rsidRPr="00813647" w:rsidRDefault="00587A2E" w:rsidP="00B730A8">
      <w:pPr>
        <w:jc w:val="both"/>
        <w:rPr>
          <w:rFonts w:ascii="Tahoma" w:hAnsi="Tahoma" w:cs="Tahoma"/>
        </w:rPr>
      </w:pPr>
    </w:p>
    <w:p w:rsidR="00101F03" w:rsidRPr="00813647" w:rsidRDefault="00101F03" w:rsidP="00B730A8">
      <w:pPr>
        <w:jc w:val="both"/>
        <w:rPr>
          <w:rFonts w:ascii="Tahoma" w:hAnsi="Tahoma" w:cs="Tahoma"/>
        </w:rPr>
      </w:pPr>
    </w:p>
    <w:p w:rsidR="00CE312B" w:rsidRPr="00813647" w:rsidRDefault="00CE312B" w:rsidP="00CE312B">
      <w:pPr>
        <w:pStyle w:val="Heading4"/>
        <w:rPr>
          <w:rFonts w:cs="Tahoma"/>
          <w:sz w:val="20"/>
        </w:rPr>
      </w:pPr>
      <w:r w:rsidRPr="00813647">
        <w:rPr>
          <w:rFonts w:cs="Tahoma"/>
          <w:sz w:val="20"/>
        </w:rPr>
        <w:t>A1</w:t>
      </w:r>
      <w:r w:rsidR="00A730D1" w:rsidRPr="00813647">
        <w:rPr>
          <w:rFonts w:cs="Tahoma"/>
          <w:sz w:val="20"/>
        </w:rPr>
        <w:t>1</w:t>
      </w:r>
      <w:r w:rsidRPr="00813647">
        <w:rPr>
          <w:rFonts w:cs="Tahoma"/>
          <w:sz w:val="20"/>
        </w:rPr>
        <w:t>.</w:t>
      </w:r>
      <w:r w:rsidRPr="00813647">
        <w:rPr>
          <w:rFonts w:cs="Tahoma"/>
          <w:sz w:val="20"/>
        </w:rPr>
        <w:tab/>
        <w:t xml:space="preserve">Changes </w:t>
      </w:r>
      <w:r w:rsidR="00630AA1" w:rsidRPr="00813647">
        <w:rPr>
          <w:rFonts w:cs="Tahoma"/>
          <w:sz w:val="20"/>
        </w:rPr>
        <w:t xml:space="preserve">in the </w:t>
      </w:r>
      <w:r w:rsidR="00D07222">
        <w:rPr>
          <w:rFonts w:cs="Tahoma"/>
          <w:sz w:val="20"/>
        </w:rPr>
        <w:t>C</w:t>
      </w:r>
      <w:r w:rsidR="00630AA1" w:rsidRPr="00813647">
        <w:rPr>
          <w:rFonts w:cs="Tahoma"/>
          <w:sz w:val="20"/>
        </w:rPr>
        <w:t>omposition of the Group</w:t>
      </w:r>
    </w:p>
    <w:p w:rsidR="001C241E" w:rsidRPr="00813647" w:rsidRDefault="001C241E" w:rsidP="00CE312B">
      <w:pPr>
        <w:ind w:left="720"/>
        <w:jc w:val="both"/>
        <w:rPr>
          <w:rFonts w:ascii="Tahoma" w:hAnsi="Tahoma" w:cs="Tahoma"/>
        </w:rPr>
      </w:pPr>
    </w:p>
    <w:p w:rsidR="00A71130" w:rsidRPr="00101F03" w:rsidRDefault="00A71130" w:rsidP="00A71130">
      <w:pPr>
        <w:tabs>
          <w:tab w:val="left" w:pos="1350"/>
        </w:tabs>
        <w:ind w:left="720"/>
        <w:jc w:val="both"/>
        <w:rPr>
          <w:rStyle w:val="apple-style-span"/>
          <w:rFonts w:ascii="Tahoma" w:hAnsi="Tahoma" w:cs="Tahoma"/>
          <w:color w:val="000000"/>
        </w:rPr>
      </w:pPr>
      <w:r w:rsidRPr="00101F03">
        <w:rPr>
          <w:rFonts w:ascii="Tahoma" w:hAnsi="Tahoma" w:cs="Tahoma"/>
        </w:rPr>
        <w:t xml:space="preserve">There were no changes in the composition of the Group for the period ended </w:t>
      </w:r>
      <w:r w:rsidRPr="00101F03">
        <w:rPr>
          <w:rFonts w:ascii="Tahoma" w:hAnsi="Tahoma" w:cs="Tahoma"/>
          <w:lang w:eastAsia="zh-CN"/>
        </w:rPr>
        <w:t xml:space="preserve">31 </w:t>
      </w:r>
      <w:r>
        <w:rPr>
          <w:rFonts w:ascii="Tahoma" w:hAnsi="Tahoma" w:cs="Tahoma"/>
          <w:lang w:eastAsia="zh-CN"/>
        </w:rPr>
        <w:t>January 2016</w:t>
      </w:r>
      <w:r w:rsidRPr="00101F03">
        <w:rPr>
          <w:rFonts w:ascii="Tahoma" w:hAnsi="Tahoma" w:cs="Tahoma"/>
        </w:rPr>
        <w:t>.</w:t>
      </w:r>
      <w:r w:rsidRPr="00101F03">
        <w:rPr>
          <w:rStyle w:val="apple-style-span"/>
          <w:rFonts w:ascii="Tahoma" w:hAnsi="Tahoma" w:cs="Tahoma"/>
          <w:color w:val="000000"/>
        </w:rPr>
        <w:t xml:space="preserve"> </w:t>
      </w:r>
    </w:p>
    <w:p w:rsidR="00734699" w:rsidRPr="00813647" w:rsidRDefault="00734699" w:rsidP="00F34F83">
      <w:pPr>
        <w:rPr>
          <w:rFonts w:ascii="Tahoma" w:hAnsi="Tahoma" w:cs="Tahoma"/>
        </w:rPr>
      </w:pPr>
    </w:p>
    <w:p w:rsidR="00056569" w:rsidRPr="00813647" w:rsidRDefault="00056569" w:rsidP="00F34F83">
      <w:pPr>
        <w:rPr>
          <w:rFonts w:ascii="Tahoma" w:hAnsi="Tahoma" w:cs="Tahoma"/>
        </w:rPr>
      </w:pPr>
    </w:p>
    <w:p w:rsidR="00C945B0" w:rsidRPr="00813647" w:rsidRDefault="00C945B0" w:rsidP="0036371D">
      <w:pPr>
        <w:pStyle w:val="Heading4"/>
        <w:rPr>
          <w:rFonts w:cs="Tahoma"/>
          <w:sz w:val="20"/>
        </w:rPr>
      </w:pPr>
      <w:r w:rsidRPr="00813647">
        <w:rPr>
          <w:rFonts w:cs="Tahoma"/>
          <w:sz w:val="20"/>
        </w:rPr>
        <w:t>A1</w:t>
      </w:r>
      <w:r w:rsidR="00A730D1" w:rsidRPr="00813647">
        <w:rPr>
          <w:rFonts w:cs="Tahoma"/>
          <w:sz w:val="20"/>
        </w:rPr>
        <w:t>2</w:t>
      </w:r>
      <w:r w:rsidRPr="00813647">
        <w:rPr>
          <w:rFonts w:cs="Tahoma"/>
          <w:sz w:val="20"/>
        </w:rPr>
        <w:t>.</w:t>
      </w:r>
      <w:r w:rsidRPr="00813647">
        <w:rPr>
          <w:rFonts w:cs="Tahoma"/>
          <w:sz w:val="20"/>
        </w:rPr>
        <w:tab/>
        <w:t>Changes in Contingent Liabilities or Contingent Assets</w:t>
      </w:r>
    </w:p>
    <w:p w:rsidR="00C945B0" w:rsidRPr="00813647" w:rsidRDefault="00C945B0">
      <w:pPr>
        <w:jc w:val="both"/>
        <w:rPr>
          <w:rFonts w:ascii="Tahoma" w:hAnsi="Tahoma" w:cs="Tahoma"/>
        </w:rPr>
      </w:pPr>
    </w:p>
    <w:p w:rsidR="00C945B0" w:rsidRPr="00813647" w:rsidRDefault="00C945B0" w:rsidP="00C95C67">
      <w:pPr>
        <w:numPr>
          <w:ilvl w:val="0"/>
          <w:numId w:val="1"/>
        </w:numPr>
        <w:jc w:val="both"/>
        <w:rPr>
          <w:rFonts w:ascii="Tahoma" w:hAnsi="Tahoma" w:cs="Tahoma"/>
        </w:rPr>
      </w:pPr>
      <w:r w:rsidRPr="00813647">
        <w:rPr>
          <w:rFonts w:ascii="Tahoma" w:hAnsi="Tahoma" w:cs="Tahoma"/>
        </w:rPr>
        <w:t>Contingent Liabilities</w:t>
      </w:r>
    </w:p>
    <w:tbl>
      <w:tblPr>
        <w:tblW w:w="0" w:type="auto"/>
        <w:tblInd w:w="1548" w:type="dxa"/>
        <w:tblLayout w:type="fixed"/>
        <w:tblLook w:val="0000"/>
      </w:tblPr>
      <w:tblGrid>
        <w:gridCol w:w="4590"/>
        <w:gridCol w:w="720"/>
        <w:gridCol w:w="2340"/>
      </w:tblGrid>
      <w:tr w:rsidR="00C945B0" w:rsidRPr="00813647" w:rsidTr="00F62280">
        <w:tc>
          <w:tcPr>
            <w:tcW w:w="4590" w:type="dxa"/>
          </w:tcPr>
          <w:p w:rsidR="00C945B0" w:rsidRPr="00813647" w:rsidRDefault="00C945B0">
            <w:pPr>
              <w:jc w:val="both"/>
              <w:rPr>
                <w:rFonts w:ascii="Tahoma" w:hAnsi="Tahoma" w:cs="Tahoma"/>
              </w:rPr>
            </w:pPr>
          </w:p>
        </w:tc>
        <w:tc>
          <w:tcPr>
            <w:tcW w:w="720" w:type="dxa"/>
          </w:tcPr>
          <w:p w:rsidR="00C945B0" w:rsidRPr="00813647" w:rsidRDefault="00C945B0">
            <w:pPr>
              <w:jc w:val="center"/>
              <w:rPr>
                <w:rFonts w:ascii="Tahoma" w:hAnsi="Tahoma" w:cs="Tahoma"/>
              </w:rPr>
            </w:pPr>
          </w:p>
        </w:tc>
        <w:tc>
          <w:tcPr>
            <w:tcW w:w="2340" w:type="dxa"/>
          </w:tcPr>
          <w:p w:rsidR="00A5174B" w:rsidRPr="00813647" w:rsidRDefault="00A5174B" w:rsidP="007A2054">
            <w:pPr>
              <w:jc w:val="center"/>
              <w:rPr>
                <w:rFonts w:ascii="Tahoma" w:hAnsi="Tahoma" w:cs="Tahoma"/>
              </w:rPr>
            </w:pPr>
            <w:r w:rsidRPr="00813647">
              <w:rPr>
                <w:rFonts w:ascii="Tahoma" w:hAnsi="Tahoma" w:cs="Tahoma"/>
              </w:rPr>
              <w:t>Company</w:t>
            </w:r>
          </w:p>
          <w:p w:rsidR="00C945B0" w:rsidRPr="00813647" w:rsidRDefault="00873CB5" w:rsidP="00587A2E">
            <w:pPr>
              <w:jc w:val="center"/>
              <w:rPr>
                <w:rFonts w:ascii="Tahoma" w:hAnsi="Tahoma" w:cs="Tahoma"/>
              </w:rPr>
            </w:pPr>
            <w:r w:rsidRPr="00813647">
              <w:rPr>
                <w:rFonts w:ascii="Tahoma" w:hAnsi="Tahoma" w:cs="Tahoma"/>
              </w:rPr>
              <w:t xml:space="preserve">As of </w:t>
            </w:r>
            <w:r w:rsidR="009228A9" w:rsidRPr="00101F03">
              <w:rPr>
                <w:rFonts w:ascii="Tahoma" w:hAnsi="Tahoma" w:cs="Tahoma"/>
                <w:lang w:eastAsia="zh-CN"/>
              </w:rPr>
              <w:t>31 January 201</w:t>
            </w:r>
            <w:r w:rsidR="009228A9">
              <w:rPr>
                <w:rFonts w:ascii="Tahoma" w:hAnsi="Tahoma" w:cs="Tahoma"/>
                <w:lang w:eastAsia="zh-CN"/>
              </w:rPr>
              <w:t>6</w:t>
            </w:r>
          </w:p>
        </w:tc>
      </w:tr>
      <w:tr w:rsidR="00C945B0" w:rsidRPr="00813647" w:rsidTr="00F62280">
        <w:tc>
          <w:tcPr>
            <w:tcW w:w="4590" w:type="dxa"/>
          </w:tcPr>
          <w:p w:rsidR="00AA0583" w:rsidRPr="00813647" w:rsidRDefault="00AA0583">
            <w:pPr>
              <w:jc w:val="both"/>
              <w:rPr>
                <w:rFonts w:ascii="Tahoma" w:hAnsi="Tahoma" w:cs="Tahoma"/>
              </w:rPr>
            </w:pPr>
          </w:p>
          <w:p w:rsidR="00C945B0" w:rsidRPr="00813647" w:rsidRDefault="00C945B0">
            <w:pPr>
              <w:jc w:val="both"/>
              <w:rPr>
                <w:rFonts w:ascii="Tahoma" w:hAnsi="Tahoma" w:cs="Tahoma"/>
              </w:rPr>
            </w:pPr>
            <w:r w:rsidRPr="00813647">
              <w:rPr>
                <w:rFonts w:ascii="Tahoma" w:hAnsi="Tahoma" w:cs="Tahoma"/>
              </w:rPr>
              <w:t>Unsecured</w:t>
            </w:r>
          </w:p>
        </w:tc>
        <w:tc>
          <w:tcPr>
            <w:tcW w:w="720" w:type="dxa"/>
          </w:tcPr>
          <w:p w:rsidR="00C945B0" w:rsidRPr="00813647" w:rsidRDefault="00C945B0">
            <w:pPr>
              <w:jc w:val="both"/>
              <w:rPr>
                <w:rFonts w:ascii="Tahoma" w:hAnsi="Tahoma" w:cs="Tahoma"/>
              </w:rPr>
            </w:pPr>
          </w:p>
        </w:tc>
        <w:tc>
          <w:tcPr>
            <w:tcW w:w="2340" w:type="dxa"/>
          </w:tcPr>
          <w:p w:rsidR="00C945B0" w:rsidRPr="00813647" w:rsidRDefault="00C945B0" w:rsidP="00AA0583">
            <w:pPr>
              <w:jc w:val="both"/>
              <w:rPr>
                <w:rFonts w:ascii="Tahoma" w:hAnsi="Tahoma" w:cs="Tahoma"/>
              </w:rPr>
            </w:pPr>
            <w:r w:rsidRPr="00813647">
              <w:rPr>
                <w:rFonts w:ascii="Tahoma" w:hAnsi="Tahoma" w:cs="Tahoma"/>
              </w:rPr>
              <w:t xml:space="preserve">         RM’000</w:t>
            </w:r>
          </w:p>
        </w:tc>
      </w:tr>
      <w:tr w:rsidR="00C945B0" w:rsidRPr="00813647" w:rsidTr="00F62280">
        <w:tc>
          <w:tcPr>
            <w:tcW w:w="4590" w:type="dxa"/>
          </w:tcPr>
          <w:p w:rsidR="00C945B0" w:rsidRPr="00813647" w:rsidRDefault="00C945B0">
            <w:pPr>
              <w:jc w:val="both"/>
              <w:rPr>
                <w:rFonts w:ascii="Tahoma" w:hAnsi="Tahoma" w:cs="Tahoma"/>
              </w:rPr>
            </w:pPr>
            <w:r w:rsidRPr="00813647">
              <w:rPr>
                <w:rFonts w:ascii="Tahoma" w:hAnsi="Tahoma" w:cs="Tahoma"/>
              </w:rPr>
              <w:t>Corporate guarantees in favour of bankers for providing banking facilities to subsidiaries</w:t>
            </w:r>
          </w:p>
        </w:tc>
        <w:tc>
          <w:tcPr>
            <w:tcW w:w="720" w:type="dxa"/>
          </w:tcPr>
          <w:p w:rsidR="00C945B0" w:rsidRPr="00813647" w:rsidRDefault="00C945B0">
            <w:pPr>
              <w:jc w:val="center"/>
              <w:rPr>
                <w:rFonts w:ascii="Tahoma" w:hAnsi="Tahoma" w:cs="Tahoma"/>
              </w:rPr>
            </w:pPr>
          </w:p>
        </w:tc>
        <w:tc>
          <w:tcPr>
            <w:tcW w:w="2340" w:type="dxa"/>
          </w:tcPr>
          <w:p w:rsidR="00C945B0" w:rsidRPr="00813647" w:rsidRDefault="00C945B0" w:rsidP="00461FDB">
            <w:pPr>
              <w:jc w:val="center"/>
              <w:rPr>
                <w:rFonts w:ascii="Tahoma" w:hAnsi="Tahoma" w:cs="Tahoma"/>
              </w:rPr>
            </w:pPr>
          </w:p>
          <w:p w:rsidR="00461FDB" w:rsidRPr="00813647" w:rsidRDefault="00FB1D5C" w:rsidP="00587A2E">
            <w:pPr>
              <w:jc w:val="center"/>
              <w:rPr>
                <w:rFonts w:ascii="Tahoma" w:hAnsi="Tahoma" w:cs="Tahoma"/>
                <w:u w:val="double"/>
              </w:rPr>
            </w:pPr>
            <w:r w:rsidRPr="00813647">
              <w:rPr>
                <w:rFonts w:ascii="Tahoma" w:hAnsi="Tahoma" w:cs="Tahoma"/>
                <w:u w:val="double"/>
              </w:rPr>
              <w:t>1</w:t>
            </w:r>
            <w:r w:rsidR="00587A2E" w:rsidRPr="00813647">
              <w:rPr>
                <w:rFonts w:ascii="Tahoma" w:hAnsi="Tahoma" w:cs="Tahoma"/>
                <w:u w:val="double"/>
              </w:rPr>
              <w:t>30</w:t>
            </w:r>
            <w:r w:rsidRPr="00813647">
              <w:rPr>
                <w:rFonts w:ascii="Tahoma" w:hAnsi="Tahoma" w:cs="Tahoma"/>
                <w:u w:val="double"/>
              </w:rPr>
              <w:t>,</w:t>
            </w:r>
            <w:r w:rsidR="00587A2E" w:rsidRPr="00813647">
              <w:rPr>
                <w:rFonts w:ascii="Tahoma" w:hAnsi="Tahoma" w:cs="Tahoma"/>
                <w:u w:val="double"/>
              </w:rPr>
              <w:t>252</w:t>
            </w:r>
          </w:p>
        </w:tc>
      </w:tr>
    </w:tbl>
    <w:p w:rsidR="006C685A" w:rsidRPr="00813647" w:rsidRDefault="006C685A" w:rsidP="008A7A25">
      <w:pPr>
        <w:jc w:val="both"/>
        <w:rPr>
          <w:rFonts w:ascii="Tahoma" w:hAnsi="Tahoma" w:cs="Tahoma"/>
        </w:rPr>
      </w:pPr>
    </w:p>
    <w:p w:rsidR="00C945B0" w:rsidRPr="00813647" w:rsidRDefault="006F5C43">
      <w:pPr>
        <w:numPr>
          <w:ilvl w:val="0"/>
          <w:numId w:val="1"/>
        </w:numPr>
        <w:jc w:val="both"/>
        <w:rPr>
          <w:rFonts w:ascii="Tahoma" w:hAnsi="Tahoma" w:cs="Tahoma"/>
        </w:rPr>
      </w:pPr>
      <w:r w:rsidRPr="00813647">
        <w:rPr>
          <w:rFonts w:ascii="Tahoma" w:hAnsi="Tahoma" w:cs="Tahoma"/>
        </w:rPr>
        <w:t>Contingent Assets</w:t>
      </w:r>
    </w:p>
    <w:p w:rsidR="00C945B0" w:rsidRPr="00813647" w:rsidRDefault="00C945B0">
      <w:pPr>
        <w:ind w:left="1440"/>
        <w:jc w:val="both"/>
        <w:rPr>
          <w:rFonts w:ascii="Tahoma" w:hAnsi="Tahoma" w:cs="Tahoma"/>
        </w:rPr>
      </w:pPr>
      <w:r w:rsidRPr="00813647">
        <w:rPr>
          <w:rFonts w:ascii="Tahoma" w:hAnsi="Tahoma" w:cs="Tahoma"/>
        </w:rPr>
        <w:t>There were no contingent assets since the last annual balance sheet date.</w:t>
      </w:r>
    </w:p>
    <w:p w:rsidR="00F95DA3" w:rsidRPr="00813647" w:rsidRDefault="00F95DA3" w:rsidP="007D42F3">
      <w:pPr>
        <w:jc w:val="both"/>
        <w:rPr>
          <w:rFonts w:ascii="Tahoma" w:hAnsi="Tahoma" w:cs="Tahoma"/>
        </w:rPr>
      </w:pPr>
    </w:p>
    <w:p w:rsidR="00101F03" w:rsidRPr="00813647" w:rsidRDefault="00101F03" w:rsidP="007D42F3">
      <w:pPr>
        <w:jc w:val="both"/>
        <w:rPr>
          <w:rFonts w:ascii="Tahoma" w:hAnsi="Tahoma" w:cs="Tahoma"/>
        </w:rPr>
      </w:pPr>
    </w:p>
    <w:p w:rsidR="00101F03" w:rsidRPr="00813647" w:rsidRDefault="00101F03" w:rsidP="007D42F3">
      <w:pPr>
        <w:jc w:val="both"/>
        <w:rPr>
          <w:rFonts w:ascii="Tahoma" w:hAnsi="Tahoma" w:cs="Tahoma"/>
        </w:rPr>
      </w:pPr>
    </w:p>
    <w:p w:rsidR="003469BD" w:rsidRPr="00813647" w:rsidRDefault="0036371D" w:rsidP="0007146A">
      <w:pPr>
        <w:pStyle w:val="Heading4"/>
        <w:rPr>
          <w:rFonts w:cs="Tahoma"/>
          <w:sz w:val="20"/>
          <w:lang w:eastAsia="zh-CN"/>
        </w:rPr>
      </w:pPr>
      <w:r w:rsidRPr="00813647">
        <w:rPr>
          <w:rFonts w:cs="Tahoma"/>
          <w:sz w:val="20"/>
          <w:lang w:eastAsia="zh-CN"/>
        </w:rPr>
        <w:t>A13</w:t>
      </w:r>
      <w:r w:rsidRPr="00813647">
        <w:rPr>
          <w:rFonts w:cs="Tahoma"/>
          <w:sz w:val="20"/>
          <w:lang w:eastAsia="zh-CN"/>
        </w:rPr>
        <w:tab/>
      </w:r>
      <w:r w:rsidR="003469BD" w:rsidRPr="00813647">
        <w:rPr>
          <w:rFonts w:cs="Tahoma"/>
          <w:sz w:val="20"/>
          <w:lang w:eastAsia="zh-CN"/>
        </w:rPr>
        <w:t>Significant Related Party Transactions</w:t>
      </w:r>
    </w:p>
    <w:p w:rsidR="002260E4" w:rsidRPr="00813647" w:rsidRDefault="002260E4" w:rsidP="0036371D">
      <w:pPr>
        <w:tabs>
          <w:tab w:val="left" w:pos="720"/>
        </w:tabs>
        <w:autoSpaceDE w:val="0"/>
        <w:autoSpaceDN w:val="0"/>
        <w:adjustRightInd w:val="0"/>
        <w:rPr>
          <w:rFonts w:ascii="Tahoma" w:hAnsi="Tahoma" w:cs="Tahoma"/>
          <w:bCs/>
          <w:lang w:eastAsia="zh-CN"/>
        </w:rPr>
      </w:pPr>
    </w:p>
    <w:p w:rsidR="003469BD" w:rsidRPr="00813647" w:rsidRDefault="003469BD" w:rsidP="00F8644B">
      <w:pPr>
        <w:autoSpaceDE w:val="0"/>
        <w:autoSpaceDN w:val="0"/>
        <w:adjustRightInd w:val="0"/>
        <w:ind w:left="720"/>
        <w:jc w:val="both"/>
        <w:rPr>
          <w:rFonts w:ascii="Tahoma" w:hAnsi="Tahoma" w:cs="Tahoma"/>
          <w:lang w:eastAsia="zh-CN"/>
        </w:rPr>
      </w:pPr>
      <w:r w:rsidRPr="00813647">
        <w:rPr>
          <w:rFonts w:ascii="Tahoma" w:hAnsi="Tahoma" w:cs="Tahoma"/>
          <w:lang w:eastAsia="zh-CN"/>
        </w:rPr>
        <w:t>The related party transactions are taken under normal course of business and on terms that</w:t>
      </w:r>
      <w:r w:rsidR="00F8644B" w:rsidRPr="00813647">
        <w:rPr>
          <w:rFonts w:ascii="Tahoma" w:hAnsi="Tahoma" w:cs="Tahoma"/>
          <w:lang w:eastAsia="zh-CN"/>
        </w:rPr>
        <w:t xml:space="preserve"> are</w:t>
      </w:r>
      <w:r w:rsidRPr="00813647">
        <w:rPr>
          <w:rFonts w:ascii="Tahoma" w:hAnsi="Tahoma" w:cs="Tahoma"/>
          <w:lang w:eastAsia="zh-CN"/>
        </w:rPr>
        <w:t xml:space="preserve"> not more favourable than those available to other third parties.</w:t>
      </w:r>
    </w:p>
    <w:p w:rsidR="00E354FB" w:rsidRPr="00813647" w:rsidRDefault="00E354FB" w:rsidP="0036371D">
      <w:pPr>
        <w:tabs>
          <w:tab w:val="left" w:pos="720"/>
        </w:tabs>
        <w:autoSpaceDE w:val="0"/>
        <w:autoSpaceDN w:val="0"/>
        <w:adjustRightInd w:val="0"/>
        <w:rPr>
          <w:rFonts w:ascii="Tahoma" w:hAnsi="Tahoma" w:cs="Tahoma"/>
          <w:lang w:eastAsia="zh-CN"/>
        </w:rPr>
      </w:pPr>
      <w:r w:rsidRPr="00813647">
        <w:rPr>
          <w:rFonts w:ascii="Tahoma" w:hAnsi="Tahoma" w:cs="Tahoma"/>
          <w:lang w:eastAsia="zh-CN"/>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1"/>
        <w:gridCol w:w="1639"/>
        <w:gridCol w:w="1457"/>
      </w:tblGrid>
      <w:tr w:rsidR="00E354FB" w:rsidRPr="00813647">
        <w:trPr>
          <w:trHeight w:val="696"/>
        </w:trPr>
        <w:tc>
          <w:tcPr>
            <w:tcW w:w="5281" w:type="dxa"/>
          </w:tcPr>
          <w:p w:rsidR="00E354FB" w:rsidRPr="00813647" w:rsidRDefault="00E354FB" w:rsidP="00E354FB">
            <w:pPr>
              <w:jc w:val="both"/>
              <w:rPr>
                <w:rFonts w:ascii="Tahoma" w:hAnsi="Tahoma" w:cs="Tahoma"/>
              </w:rPr>
            </w:pPr>
          </w:p>
          <w:p w:rsidR="00E354FB" w:rsidRPr="00813647" w:rsidRDefault="00E354FB" w:rsidP="00FB03D7">
            <w:pPr>
              <w:jc w:val="both"/>
              <w:rPr>
                <w:rFonts w:ascii="Tahoma" w:hAnsi="Tahoma" w:cs="Tahoma"/>
              </w:rPr>
            </w:pPr>
            <w:r w:rsidRPr="00813647">
              <w:rPr>
                <w:rFonts w:ascii="Tahoma" w:hAnsi="Tahoma" w:cs="Tahoma"/>
              </w:rPr>
              <w:t>Compan</w:t>
            </w:r>
            <w:r w:rsidR="00FB03D7" w:rsidRPr="00813647">
              <w:rPr>
                <w:rFonts w:ascii="Tahoma" w:hAnsi="Tahoma" w:cs="Tahoma"/>
              </w:rPr>
              <w:t>ies</w:t>
            </w:r>
            <w:r w:rsidRPr="00813647">
              <w:rPr>
                <w:rFonts w:ascii="Tahoma" w:hAnsi="Tahoma" w:cs="Tahoma"/>
              </w:rPr>
              <w:t xml:space="preserve"> in which </w:t>
            </w:r>
            <w:r w:rsidR="00FB03D7" w:rsidRPr="00813647">
              <w:rPr>
                <w:rFonts w:ascii="Tahoma" w:hAnsi="Tahoma" w:cs="Tahoma"/>
              </w:rPr>
              <w:t>certain</w:t>
            </w:r>
            <w:r w:rsidR="00E43A96" w:rsidRPr="00813647">
              <w:rPr>
                <w:rFonts w:ascii="Tahoma" w:hAnsi="Tahoma" w:cs="Tahoma"/>
              </w:rPr>
              <w:t xml:space="preserve"> </w:t>
            </w:r>
            <w:r w:rsidRPr="00813647">
              <w:rPr>
                <w:rFonts w:ascii="Tahoma" w:hAnsi="Tahoma" w:cs="Tahoma"/>
              </w:rPr>
              <w:t>director</w:t>
            </w:r>
            <w:r w:rsidR="00FB03D7" w:rsidRPr="00813647">
              <w:rPr>
                <w:rFonts w:ascii="Tahoma" w:hAnsi="Tahoma" w:cs="Tahoma"/>
              </w:rPr>
              <w:t>s</w:t>
            </w:r>
            <w:r w:rsidRPr="00813647">
              <w:rPr>
                <w:rFonts w:ascii="Tahoma" w:hAnsi="Tahoma" w:cs="Tahoma"/>
              </w:rPr>
              <w:t xml:space="preserve"> ha</w:t>
            </w:r>
            <w:r w:rsidR="00FB03D7" w:rsidRPr="00813647">
              <w:rPr>
                <w:rFonts w:ascii="Tahoma" w:hAnsi="Tahoma" w:cs="Tahoma"/>
              </w:rPr>
              <w:t>ve</w:t>
            </w:r>
            <w:r w:rsidRPr="00813647">
              <w:rPr>
                <w:rFonts w:ascii="Tahoma" w:hAnsi="Tahoma" w:cs="Tahoma"/>
              </w:rPr>
              <w:t xml:space="preserve"> interest</w:t>
            </w:r>
            <w:r w:rsidR="00E43A96" w:rsidRPr="00813647">
              <w:rPr>
                <w:rFonts w:ascii="Tahoma" w:hAnsi="Tahoma" w:cs="Tahoma"/>
              </w:rPr>
              <w:t>s</w:t>
            </w:r>
            <w:r w:rsidRPr="00813647">
              <w:rPr>
                <w:rFonts w:ascii="Tahoma" w:hAnsi="Tahoma" w:cs="Tahoma"/>
              </w:rPr>
              <w:t>:-</w:t>
            </w:r>
          </w:p>
        </w:tc>
        <w:tc>
          <w:tcPr>
            <w:tcW w:w="1639" w:type="dxa"/>
          </w:tcPr>
          <w:p w:rsidR="00E354FB" w:rsidRPr="00813647" w:rsidRDefault="00E354FB" w:rsidP="00E354FB">
            <w:pPr>
              <w:jc w:val="right"/>
              <w:rPr>
                <w:rFonts w:ascii="Tahoma" w:hAnsi="Tahoma" w:cs="Tahoma"/>
              </w:rPr>
            </w:pPr>
          </w:p>
          <w:p w:rsidR="00E354FB" w:rsidRPr="00813647" w:rsidRDefault="00E354FB" w:rsidP="00E354FB">
            <w:pPr>
              <w:jc w:val="right"/>
              <w:rPr>
                <w:rFonts w:ascii="Tahoma" w:hAnsi="Tahoma" w:cs="Tahoma"/>
              </w:rPr>
            </w:pPr>
            <w:r w:rsidRPr="00813647">
              <w:rPr>
                <w:rFonts w:ascii="Tahoma" w:hAnsi="Tahoma" w:cs="Tahoma"/>
              </w:rPr>
              <w:t>Current Quarter</w:t>
            </w:r>
          </w:p>
          <w:p w:rsidR="00E354FB" w:rsidRPr="00813647" w:rsidRDefault="00E354FB" w:rsidP="00E354FB">
            <w:pPr>
              <w:jc w:val="right"/>
              <w:rPr>
                <w:rFonts w:ascii="Tahoma" w:hAnsi="Tahoma" w:cs="Tahoma"/>
              </w:rPr>
            </w:pPr>
            <w:r w:rsidRPr="00813647">
              <w:rPr>
                <w:rFonts w:ascii="Tahoma" w:hAnsi="Tahoma" w:cs="Tahoma"/>
              </w:rPr>
              <w:t>RM’000</w:t>
            </w:r>
          </w:p>
        </w:tc>
        <w:tc>
          <w:tcPr>
            <w:tcW w:w="1457" w:type="dxa"/>
          </w:tcPr>
          <w:p w:rsidR="00E354FB" w:rsidRPr="00813647" w:rsidRDefault="00E354FB" w:rsidP="00E354FB">
            <w:pPr>
              <w:jc w:val="right"/>
              <w:rPr>
                <w:rFonts w:ascii="Tahoma" w:hAnsi="Tahoma" w:cs="Tahoma"/>
              </w:rPr>
            </w:pPr>
            <w:r w:rsidRPr="00813647">
              <w:rPr>
                <w:rFonts w:ascii="Tahoma" w:hAnsi="Tahoma" w:cs="Tahoma"/>
              </w:rPr>
              <w:t xml:space="preserve">Financial </w:t>
            </w:r>
          </w:p>
          <w:p w:rsidR="00E354FB" w:rsidRPr="00813647" w:rsidRDefault="00E354FB" w:rsidP="00E354FB">
            <w:pPr>
              <w:jc w:val="right"/>
              <w:rPr>
                <w:rFonts w:ascii="Tahoma" w:hAnsi="Tahoma" w:cs="Tahoma"/>
              </w:rPr>
            </w:pPr>
            <w:r w:rsidRPr="00813647">
              <w:rPr>
                <w:rFonts w:ascii="Tahoma" w:hAnsi="Tahoma" w:cs="Tahoma"/>
              </w:rPr>
              <w:t>year-to-date</w:t>
            </w:r>
          </w:p>
          <w:p w:rsidR="00E354FB" w:rsidRPr="00813647" w:rsidRDefault="00E354FB" w:rsidP="00E354FB">
            <w:pPr>
              <w:jc w:val="right"/>
              <w:rPr>
                <w:rFonts w:ascii="Tahoma" w:hAnsi="Tahoma" w:cs="Tahoma"/>
              </w:rPr>
            </w:pPr>
            <w:r w:rsidRPr="00813647">
              <w:rPr>
                <w:rFonts w:ascii="Tahoma" w:hAnsi="Tahoma" w:cs="Tahoma"/>
              </w:rPr>
              <w:t>RM’000</w:t>
            </w:r>
          </w:p>
        </w:tc>
      </w:tr>
      <w:tr w:rsidR="00E354FB" w:rsidRPr="00813647">
        <w:trPr>
          <w:trHeight w:val="1321"/>
        </w:trPr>
        <w:tc>
          <w:tcPr>
            <w:tcW w:w="5281" w:type="dxa"/>
          </w:tcPr>
          <w:p w:rsidR="00E354FB" w:rsidRPr="00813647" w:rsidRDefault="00E354FB" w:rsidP="00E354FB">
            <w:pPr>
              <w:jc w:val="both"/>
              <w:rPr>
                <w:rFonts w:ascii="Tahoma" w:hAnsi="Tahoma" w:cs="Tahoma"/>
              </w:rPr>
            </w:pPr>
          </w:p>
          <w:p w:rsidR="00FB03D7" w:rsidRPr="00813647" w:rsidRDefault="00E354FB" w:rsidP="00E354FB">
            <w:pPr>
              <w:jc w:val="both"/>
              <w:rPr>
                <w:rFonts w:ascii="Tahoma" w:hAnsi="Tahoma" w:cs="Tahoma"/>
              </w:rPr>
            </w:pPr>
            <w:r w:rsidRPr="00813647">
              <w:rPr>
                <w:rFonts w:ascii="Tahoma" w:hAnsi="Tahoma" w:cs="Tahoma"/>
              </w:rPr>
              <w:t xml:space="preserve">– </w:t>
            </w:r>
            <w:r w:rsidR="00FB03D7" w:rsidRPr="00813647">
              <w:rPr>
                <w:rFonts w:ascii="Tahoma" w:hAnsi="Tahoma" w:cs="Tahoma"/>
              </w:rPr>
              <w:t xml:space="preserve">Commission payment </w:t>
            </w:r>
          </w:p>
          <w:p w:rsidR="008450E2" w:rsidRPr="00813647" w:rsidRDefault="008450E2" w:rsidP="00E354FB">
            <w:pPr>
              <w:jc w:val="both"/>
              <w:rPr>
                <w:rFonts w:ascii="Tahoma" w:hAnsi="Tahoma" w:cs="Tahoma"/>
              </w:rPr>
            </w:pPr>
            <w:r w:rsidRPr="00813647">
              <w:rPr>
                <w:rFonts w:ascii="Tahoma" w:hAnsi="Tahoma" w:cs="Tahoma"/>
              </w:rPr>
              <w:t>– Purchases of biomass feeds stocks</w:t>
            </w:r>
          </w:p>
          <w:p w:rsidR="00E354FB" w:rsidRPr="00813647" w:rsidRDefault="00FB03D7" w:rsidP="00E354FB">
            <w:pPr>
              <w:jc w:val="both"/>
              <w:rPr>
                <w:rFonts w:ascii="Tahoma" w:hAnsi="Tahoma" w:cs="Tahoma"/>
              </w:rPr>
            </w:pPr>
            <w:r w:rsidRPr="00813647">
              <w:rPr>
                <w:rFonts w:ascii="Tahoma" w:hAnsi="Tahoma" w:cs="Tahoma"/>
              </w:rPr>
              <w:t xml:space="preserve">– </w:t>
            </w:r>
            <w:r w:rsidR="00E354FB" w:rsidRPr="00813647">
              <w:rPr>
                <w:rFonts w:ascii="Tahoma" w:hAnsi="Tahoma" w:cs="Tahoma"/>
              </w:rPr>
              <w:t>Rental payment</w:t>
            </w:r>
          </w:p>
          <w:p w:rsidR="00E354FB" w:rsidRPr="00813647" w:rsidRDefault="00E354FB" w:rsidP="000511F9">
            <w:pPr>
              <w:jc w:val="both"/>
              <w:rPr>
                <w:rFonts w:ascii="Tahoma" w:hAnsi="Tahoma" w:cs="Tahoma"/>
              </w:rPr>
            </w:pPr>
            <w:r w:rsidRPr="00813647">
              <w:rPr>
                <w:rFonts w:ascii="Tahoma" w:hAnsi="Tahoma" w:cs="Tahoma"/>
              </w:rPr>
              <w:t xml:space="preserve">– </w:t>
            </w:r>
            <w:r w:rsidR="00FB03D7" w:rsidRPr="00813647">
              <w:rPr>
                <w:rFonts w:ascii="Tahoma" w:hAnsi="Tahoma" w:cs="Tahoma"/>
              </w:rPr>
              <w:t>Sales of carton box</w:t>
            </w:r>
          </w:p>
          <w:p w:rsidR="007A2054" w:rsidRPr="00813647" w:rsidRDefault="007A2054" w:rsidP="007A2054">
            <w:pPr>
              <w:jc w:val="both"/>
              <w:rPr>
                <w:rFonts w:ascii="Tahoma" w:hAnsi="Tahoma" w:cs="Tahoma"/>
              </w:rPr>
            </w:pPr>
            <w:r w:rsidRPr="00813647">
              <w:rPr>
                <w:rFonts w:ascii="Tahoma" w:hAnsi="Tahoma" w:cs="Tahoma"/>
              </w:rPr>
              <w:t xml:space="preserve">– </w:t>
            </w:r>
            <w:r w:rsidR="00FB03D7" w:rsidRPr="00813647">
              <w:rPr>
                <w:rFonts w:ascii="Tahoma" w:hAnsi="Tahoma" w:cs="Tahoma"/>
              </w:rPr>
              <w:t>Purchases of machinery and machinery parts</w:t>
            </w:r>
          </w:p>
          <w:p w:rsidR="007A2054" w:rsidRPr="00813647" w:rsidRDefault="007A2054" w:rsidP="007A2054">
            <w:pPr>
              <w:jc w:val="both"/>
              <w:rPr>
                <w:rFonts w:ascii="Tahoma" w:hAnsi="Tahoma" w:cs="Tahoma"/>
              </w:rPr>
            </w:pPr>
          </w:p>
        </w:tc>
        <w:tc>
          <w:tcPr>
            <w:tcW w:w="1639" w:type="dxa"/>
          </w:tcPr>
          <w:p w:rsidR="00E354FB" w:rsidRPr="00813647" w:rsidRDefault="00E354FB" w:rsidP="00E354FB">
            <w:pPr>
              <w:jc w:val="right"/>
              <w:rPr>
                <w:rFonts w:ascii="Tahoma" w:hAnsi="Tahoma" w:cs="Tahoma"/>
              </w:rPr>
            </w:pPr>
          </w:p>
          <w:p w:rsidR="00E354FB" w:rsidRPr="00813647" w:rsidRDefault="004041BE" w:rsidP="00E354FB">
            <w:pPr>
              <w:jc w:val="right"/>
              <w:rPr>
                <w:rFonts w:ascii="Tahoma" w:hAnsi="Tahoma" w:cs="Tahoma"/>
              </w:rPr>
            </w:pPr>
            <w:r w:rsidRPr="00813647">
              <w:rPr>
                <w:rFonts w:ascii="Tahoma" w:hAnsi="Tahoma" w:cs="Tahoma"/>
              </w:rPr>
              <w:t>-</w:t>
            </w:r>
          </w:p>
          <w:p w:rsidR="008450E2" w:rsidRPr="00813647" w:rsidRDefault="003A68BD" w:rsidP="00E354FB">
            <w:pPr>
              <w:jc w:val="right"/>
              <w:rPr>
                <w:rFonts w:ascii="Tahoma" w:hAnsi="Tahoma" w:cs="Tahoma"/>
              </w:rPr>
            </w:pPr>
            <w:r>
              <w:rPr>
                <w:rFonts w:ascii="Tahoma" w:hAnsi="Tahoma" w:cs="Tahoma"/>
              </w:rPr>
              <w:t>15</w:t>
            </w:r>
          </w:p>
          <w:p w:rsidR="00E354FB" w:rsidRPr="00813647" w:rsidRDefault="0005479F" w:rsidP="00E354FB">
            <w:pPr>
              <w:jc w:val="right"/>
              <w:rPr>
                <w:rFonts w:ascii="Tahoma" w:hAnsi="Tahoma" w:cs="Tahoma"/>
              </w:rPr>
            </w:pPr>
            <w:r w:rsidRPr="00813647">
              <w:rPr>
                <w:rFonts w:ascii="Tahoma" w:hAnsi="Tahoma" w:cs="Tahoma"/>
              </w:rPr>
              <w:t>2</w:t>
            </w:r>
            <w:r w:rsidR="00587A2E" w:rsidRPr="00813647">
              <w:rPr>
                <w:rFonts w:ascii="Tahoma" w:hAnsi="Tahoma" w:cs="Tahoma"/>
              </w:rPr>
              <w:t>3</w:t>
            </w:r>
          </w:p>
          <w:p w:rsidR="007A2054" w:rsidRPr="00813647" w:rsidRDefault="00F62280" w:rsidP="00E354FB">
            <w:pPr>
              <w:jc w:val="right"/>
              <w:rPr>
                <w:rFonts w:ascii="Tahoma" w:hAnsi="Tahoma" w:cs="Tahoma"/>
              </w:rPr>
            </w:pPr>
            <w:r w:rsidRPr="00813647">
              <w:rPr>
                <w:rFonts w:ascii="Tahoma" w:hAnsi="Tahoma" w:cs="Tahoma"/>
              </w:rPr>
              <w:t>-</w:t>
            </w:r>
          </w:p>
          <w:p w:rsidR="00FB03D7" w:rsidRPr="00813647" w:rsidRDefault="003A68BD" w:rsidP="00E354FB">
            <w:pPr>
              <w:jc w:val="right"/>
              <w:rPr>
                <w:rFonts w:ascii="Tahoma" w:hAnsi="Tahoma" w:cs="Tahoma"/>
              </w:rPr>
            </w:pPr>
            <w:r>
              <w:rPr>
                <w:rFonts w:ascii="Tahoma" w:hAnsi="Tahoma" w:cs="Tahoma"/>
              </w:rPr>
              <w:t>26</w:t>
            </w:r>
          </w:p>
          <w:p w:rsidR="00E354FB" w:rsidRPr="00813647" w:rsidRDefault="003A68BD" w:rsidP="00E354FB">
            <w:pPr>
              <w:pBdr>
                <w:top w:val="single" w:sz="6" w:space="1" w:color="auto"/>
                <w:bottom w:val="single" w:sz="6" w:space="1" w:color="auto"/>
              </w:pBdr>
              <w:jc w:val="right"/>
              <w:rPr>
                <w:rFonts w:ascii="Tahoma" w:hAnsi="Tahoma" w:cs="Tahoma"/>
              </w:rPr>
            </w:pPr>
            <w:r>
              <w:rPr>
                <w:rFonts w:ascii="Tahoma" w:hAnsi="Tahoma" w:cs="Tahoma"/>
              </w:rPr>
              <w:t>64</w:t>
            </w:r>
          </w:p>
          <w:p w:rsidR="00E354FB" w:rsidRPr="00813647" w:rsidRDefault="00E354FB" w:rsidP="00E354FB">
            <w:pPr>
              <w:rPr>
                <w:rFonts w:ascii="Tahoma" w:hAnsi="Tahoma" w:cs="Tahoma"/>
              </w:rPr>
            </w:pPr>
          </w:p>
        </w:tc>
        <w:tc>
          <w:tcPr>
            <w:tcW w:w="1457" w:type="dxa"/>
          </w:tcPr>
          <w:p w:rsidR="00E354FB" w:rsidRPr="00813647" w:rsidRDefault="00E354FB" w:rsidP="00E354FB">
            <w:pPr>
              <w:jc w:val="right"/>
              <w:rPr>
                <w:rFonts w:ascii="Tahoma" w:hAnsi="Tahoma" w:cs="Tahoma"/>
              </w:rPr>
            </w:pPr>
          </w:p>
          <w:p w:rsidR="00F62280" w:rsidRPr="00813647" w:rsidRDefault="00587A2E" w:rsidP="00F62280">
            <w:pPr>
              <w:jc w:val="right"/>
              <w:rPr>
                <w:rFonts w:ascii="Tahoma" w:hAnsi="Tahoma" w:cs="Tahoma"/>
              </w:rPr>
            </w:pPr>
            <w:r w:rsidRPr="00813647">
              <w:rPr>
                <w:rFonts w:ascii="Tahoma" w:hAnsi="Tahoma" w:cs="Tahoma"/>
              </w:rPr>
              <w:t>-</w:t>
            </w:r>
          </w:p>
          <w:p w:rsidR="00F62280" w:rsidRPr="00813647" w:rsidRDefault="003A68BD" w:rsidP="00F62280">
            <w:pPr>
              <w:jc w:val="right"/>
              <w:rPr>
                <w:rFonts w:ascii="Tahoma" w:hAnsi="Tahoma" w:cs="Tahoma"/>
              </w:rPr>
            </w:pPr>
            <w:r>
              <w:rPr>
                <w:rFonts w:ascii="Tahoma" w:hAnsi="Tahoma" w:cs="Tahoma"/>
              </w:rPr>
              <w:t>41</w:t>
            </w:r>
          </w:p>
          <w:p w:rsidR="00F62280" w:rsidRPr="00813647" w:rsidRDefault="003A68BD" w:rsidP="00F62280">
            <w:pPr>
              <w:jc w:val="right"/>
              <w:rPr>
                <w:rFonts w:ascii="Tahoma" w:hAnsi="Tahoma" w:cs="Tahoma"/>
              </w:rPr>
            </w:pPr>
            <w:r>
              <w:rPr>
                <w:rFonts w:ascii="Tahoma" w:hAnsi="Tahoma" w:cs="Tahoma"/>
              </w:rPr>
              <w:t>46</w:t>
            </w:r>
          </w:p>
          <w:p w:rsidR="00F62280" w:rsidRPr="00813647" w:rsidRDefault="00F62280" w:rsidP="00F62280">
            <w:pPr>
              <w:jc w:val="right"/>
              <w:rPr>
                <w:rFonts w:ascii="Tahoma" w:hAnsi="Tahoma" w:cs="Tahoma"/>
              </w:rPr>
            </w:pPr>
            <w:r w:rsidRPr="00813647">
              <w:rPr>
                <w:rFonts w:ascii="Tahoma" w:hAnsi="Tahoma" w:cs="Tahoma"/>
              </w:rPr>
              <w:t>-</w:t>
            </w:r>
          </w:p>
          <w:p w:rsidR="00F62280" w:rsidRPr="00813647" w:rsidRDefault="003A68BD" w:rsidP="00F62280">
            <w:pPr>
              <w:jc w:val="right"/>
              <w:rPr>
                <w:rFonts w:ascii="Tahoma" w:hAnsi="Tahoma" w:cs="Tahoma"/>
              </w:rPr>
            </w:pPr>
            <w:r>
              <w:rPr>
                <w:rFonts w:ascii="Tahoma" w:hAnsi="Tahoma" w:cs="Tahoma"/>
              </w:rPr>
              <w:t>36</w:t>
            </w:r>
          </w:p>
          <w:p w:rsidR="00E354FB" w:rsidRPr="00813647" w:rsidRDefault="003A68BD" w:rsidP="00F62280">
            <w:pPr>
              <w:pBdr>
                <w:top w:val="single" w:sz="6" w:space="1" w:color="auto"/>
                <w:bottom w:val="single" w:sz="6" w:space="1" w:color="auto"/>
              </w:pBdr>
              <w:jc w:val="right"/>
              <w:rPr>
                <w:rFonts w:ascii="Tahoma" w:hAnsi="Tahoma" w:cs="Tahoma"/>
              </w:rPr>
            </w:pPr>
            <w:r>
              <w:rPr>
                <w:rFonts w:ascii="Tahoma" w:hAnsi="Tahoma" w:cs="Tahoma"/>
              </w:rPr>
              <w:t>123</w:t>
            </w:r>
            <w:r w:rsidR="00E354FB" w:rsidRPr="00813647">
              <w:rPr>
                <w:rFonts w:ascii="Tahoma" w:hAnsi="Tahoma" w:cs="Tahoma"/>
              </w:rPr>
              <w:t xml:space="preserve">    </w:t>
            </w:r>
          </w:p>
          <w:p w:rsidR="00E354FB" w:rsidRPr="00813647" w:rsidRDefault="00E354FB" w:rsidP="00E354FB">
            <w:pPr>
              <w:rPr>
                <w:rFonts w:ascii="Tahoma" w:hAnsi="Tahoma" w:cs="Tahoma"/>
              </w:rPr>
            </w:pPr>
          </w:p>
        </w:tc>
      </w:tr>
    </w:tbl>
    <w:p w:rsidR="005404E9" w:rsidRPr="00813647" w:rsidRDefault="005404E9" w:rsidP="007D42F3">
      <w:pPr>
        <w:jc w:val="both"/>
        <w:rPr>
          <w:rFonts w:ascii="Tahoma" w:hAnsi="Tahoma" w:cs="Tahoma"/>
        </w:rPr>
      </w:pPr>
    </w:p>
    <w:p w:rsidR="00101F03" w:rsidRPr="00813647" w:rsidRDefault="00101F03" w:rsidP="007D42F3">
      <w:pPr>
        <w:jc w:val="both"/>
        <w:rPr>
          <w:rFonts w:ascii="Tahoma" w:hAnsi="Tahoma" w:cs="Tahoma"/>
        </w:rPr>
      </w:pPr>
    </w:p>
    <w:p w:rsidR="00101F03" w:rsidRPr="00813647" w:rsidRDefault="00101F03" w:rsidP="007D42F3">
      <w:pPr>
        <w:jc w:val="both"/>
        <w:rPr>
          <w:rFonts w:ascii="Tahoma" w:hAnsi="Tahoma" w:cs="Tahoma"/>
        </w:rPr>
      </w:pPr>
    </w:p>
    <w:p w:rsidR="00056569" w:rsidRPr="00813647" w:rsidRDefault="00056569" w:rsidP="007D42F3">
      <w:pPr>
        <w:jc w:val="both"/>
        <w:rPr>
          <w:rFonts w:ascii="Tahoma" w:hAnsi="Tahoma" w:cs="Tahoma"/>
        </w:rPr>
      </w:pPr>
    </w:p>
    <w:p w:rsidR="00056569" w:rsidRPr="00813647" w:rsidRDefault="00056569" w:rsidP="007D42F3">
      <w:pPr>
        <w:jc w:val="both"/>
        <w:rPr>
          <w:rFonts w:ascii="Tahoma" w:hAnsi="Tahoma" w:cs="Tahoma"/>
        </w:rPr>
      </w:pPr>
    </w:p>
    <w:p w:rsidR="00056569" w:rsidRPr="00813647" w:rsidRDefault="00056569" w:rsidP="007D42F3">
      <w:pPr>
        <w:jc w:val="both"/>
        <w:rPr>
          <w:rFonts w:ascii="Tahoma" w:hAnsi="Tahoma" w:cs="Tahoma"/>
        </w:rPr>
      </w:pPr>
    </w:p>
    <w:p w:rsidR="00056569" w:rsidRPr="00813647" w:rsidRDefault="00056569" w:rsidP="007D42F3">
      <w:pPr>
        <w:jc w:val="both"/>
        <w:rPr>
          <w:rFonts w:ascii="Tahoma" w:hAnsi="Tahoma" w:cs="Tahoma"/>
        </w:rPr>
      </w:pPr>
    </w:p>
    <w:p w:rsidR="00056569" w:rsidRPr="00813647" w:rsidRDefault="00056569" w:rsidP="007D42F3">
      <w:pPr>
        <w:jc w:val="both"/>
        <w:rPr>
          <w:rFonts w:ascii="Tahoma" w:hAnsi="Tahoma" w:cs="Tahoma"/>
        </w:rPr>
      </w:pPr>
    </w:p>
    <w:p w:rsidR="00587A2E" w:rsidRPr="00813647" w:rsidRDefault="00587A2E" w:rsidP="007D42F3">
      <w:pPr>
        <w:jc w:val="both"/>
        <w:rPr>
          <w:rFonts w:ascii="Tahoma" w:hAnsi="Tahoma" w:cs="Tahoma"/>
        </w:rPr>
      </w:pPr>
    </w:p>
    <w:p w:rsidR="00587A2E" w:rsidRPr="00813647" w:rsidRDefault="00587A2E" w:rsidP="007D42F3">
      <w:pPr>
        <w:jc w:val="both"/>
        <w:rPr>
          <w:rFonts w:ascii="Tahoma" w:hAnsi="Tahoma" w:cs="Tahoma"/>
        </w:rPr>
      </w:pPr>
    </w:p>
    <w:p w:rsidR="00587A2E" w:rsidRPr="00813647" w:rsidRDefault="00587A2E" w:rsidP="007D42F3">
      <w:pPr>
        <w:jc w:val="both"/>
        <w:rPr>
          <w:rFonts w:ascii="Tahoma" w:hAnsi="Tahoma" w:cs="Tahoma"/>
        </w:rPr>
      </w:pPr>
    </w:p>
    <w:p w:rsidR="00587A2E" w:rsidRPr="00813647" w:rsidRDefault="00587A2E" w:rsidP="007D42F3">
      <w:pPr>
        <w:jc w:val="both"/>
        <w:rPr>
          <w:rFonts w:ascii="Tahoma" w:hAnsi="Tahoma" w:cs="Tahoma"/>
        </w:rPr>
      </w:pPr>
    </w:p>
    <w:p w:rsidR="00587A2E" w:rsidRPr="00813647" w:rsidRDefault="00587A2E" w:rsidP="007D42F3">
      <w:pPr>
        <w:jc w:val="both"/>
        <w:rPr>
          <w:rFonts w:ascii="Tahoma" w:hAnsi="Tahoma" w:cs="Tahoma"/>
        </w:rPr>
      </w:pPr>
    </w:p>
    <w:p w:rsidR="00587A2E" w:rsidRPr="00813647" w:rsidRDefault="00587A2E" w:rsidP="007D42F3">
      <w:pPr>
        <w:jc w:val="both"/>
        <w:rPr>
          <w:rFonts w:ascii="Tahoma" w:hAnsi="Tahoma" w:cs="Tahoma"/>
        </w:rPr>
      </w:pPr>
    </w:p>
    <w:p w:rsidR="00587A2E" w:rsidRPr="00813647" w:rsidRDefault="00587A2E" w:rsidP="007D42F3">
      <w:pPr>
        <w:jc w:val="both"/>
        <w:rPr>
          <w:rFonts w:ascii="Tahoma" w:hAnsi="Tahoma" w:cs="Tahoma"/>
        </w:rPr>
      </w:pPr>
    </w:p>
    <w:p w:rsidR="00587A2E" w:rsidRPr="00813647" w:rsidRDefault="00587A2E" w:rsidP="007D42F3">
      <w:pPr>
        <w:jc w:val="both"/>
        <w:rPr>
          <w:rFonts w:ascii="Tahoma" w:hAnsi="Tahoma" w:cs="Tahoma"/>
        </w:rPr>
      </w:pPr>
    </w:p>
    <w:p w:rsidR="00587A2E" w:rsidRPr="00813647" w:rsidRDefault="00587A2E" w:rsidP="007D42F3">
      <w:pPr>
        <w:jc w:val="both"/>
        <w:rPr>
          <w:rFonts w:ascii="Tahoma" w:hAnsi="Tahoma" w:cs="Tahoma"/>
        </w:rPr>
      </w:pPr>
    </w:p>
    <w:p w:rsidR="00587A2E" w:rsidRPr="00813647" w:rsidRDefault="00587A2E" w:rsidP="007D42F3">
      <w:pPr>
        <w:jc w:val="both"/>
        <w:rPr>
          <w:rFonts w:ascii="Tahoma" w:hAnsi="Tahoma" w:cs="Tahoma"/>
        </w:rPr>
      </w:pPr>
    </w:p>
    <w:p w:rsidR="00587A2E" w:rsidRPr="00813647" w:rsidRDefault="00587A2E" w:rsidP="007D42F3">
      <w:pPr>
        <w:jc w:val="both"/>
        <w:rPr>
          <w:rFonts w:ascii="Tahoma" w:hAnsi="Tahoma" w:cs="Tahoma"/>
        </w:rPr>
      </w:pPr>
    </w:p>
    <w:p w:rsidR="00056569" w:rsidRPr="00813647" w:rsidRDefault="00056569" w:rsidP="007D42F3">
      <w:pPr>
        <w:jc w:val="both"/>
        <w:rPr>
          <w:rFonts w:ascii="Tahoma" w:hAnsi="Tahoma" w:cs="Tahoma"/>
        </w:rPr>
      </w:pPr>
    </w:p>
    <w:p w:rsidR="00056569" w:rsidRPr="00813647" w:rsidRDefault="00056569" w:rsidP="007D42F3">
      <w:pPr>
        <w:jc w:val="both"/>
        <w:rPr>
          <w:rFonts w:ascii="Tahoma" w:hAnsi="Tahoma" w:cs="Tahoma"/>
        </w:rPr>
      </w:pPr>
    </w:p>
    <w:p w:rsidR="00C945B0" w:rsidRPr="00813647" w:rsidRDefault="00C945B0">
      <w:pPr>
        <w:pStyle w:val="BodyText3"/>
        <w:rPr>
          <w:rFonts w:cs="Tahoma"/>
          <w:sz w:val="20"/>
        </w:rPr>
      </w:pPr>
      <w:r w:rsidRPr="00813647">
        <w:rPr>
          <w:rFonts w:cs="Tahoma"/>
          <w:sz w:val="20"/>
        </w:rPr>
        <w:t xml:space="preserve">SELECTED EXPLANATORY NOTES PURSUANT TO APPENDIX 9B OF THE </w:t>
      </w:r>
      <w:r w:rsidR="00CC124D" w:rsidRPr="00813647">
        <w:rPr>
          <w:rFonts w:cs="Tahoma"/>
          <w:sz w:val="20"/>
        </w:rPr>
        <w:t xml:space="preserve">MAIN MARKET </w:t>
      </w:r>
      <w:r w:rsidRPr="00813647">
        <w:rPr>
          <w:rFonts w:cs="Tahoma"/>
          <w:sz w:val="20"/>
        </w:rPr>
        <w:t>LISTING REQUIREMENTS</w:t>
      </w:r>
      <w:r w:rsidR="00CC124D" w:rsidRPr="00813647">
        <w:rPr>
          <w:rFonts w:cs="Tahoma"/>
          <w:sz w:val="20"/>
        </w:rPr>
        <w:t xml:space="preserve"> OF BURSA SECURITIES</w:t>
      </w:r>
      <w:r w:rsidRPr="00813647">
        <w:rPr>
          <w:rFonts w:cs="Tahoma"/>
          <w:sz w:val="20"/>
        </w:rPr>
        <w:t>:</w:t>
      </w:r>
    </w:p>
    <w:p w:rsidR="00AF3D23" w:rsidRPr="00813647" w:rsidRDefault="00AF3D23">
      <w:pPr>
        <w:jc w:val="both"/>
        <w:rPr>
          <w:rFonts w:ascii="Tahoma" w:hAnsi="Tahoma" w:cs="Tahoma"/>
          <w:sz w:val="16"/>
          <w:szCs w:val="16"/>
        </w:rPr>
      </w:pPr>
    </w:p>
    <w:p w:rsidR="00827786" w:rsidRPr="00813647" w:rsidRDefault="00827786">
      <w:pPr>
        <w:jc w:val="both"/>
        <w:rPr>
          <w:rFonts w:ascii="Tahoma" w:hAnsi="Tahoma" w:cs="Tahoma"/>
          <w:sz w:val="16"/>
          <w:szCs w:val="16"/>
        </w:rPr>
      </w:pPr>
    </w:p>
    <w:p w:rsidR="00C945B0" w:rsidRPr="002D2CC9" w:rsidRDefault="008371E0">
      <w:pPr>
        <w:pStyle w:val="Heading4"/>
        <w:rPr>
          <w:rFonts w:cs="Tahoma"/>
          <w:sz w:val="20"/>
        </w:rPr>
      </w:pPr>
      <w:r w:rsidRPr="008371E0">
        <w:rPr>
          <w:rFonts w:cs="Tahoma"/>
          <w:sz w:val="20"/>
        </w:rPr>
        <w:t>B1.</w:t>
      </w:r>
      <w:r w:rsidRPr="008371E0">
        <w:rPr>
          <w:rFonts w:cs="Tahoma"/>
          <w:sz w:val="20"/>
        </w:rPr>
        <w:tab/>
        <w:t>Review of Performance</w:t>
      </w:r>
    </w:p>
    <w:p w:rsidR="00C945B0" w:rsidRPr="002D2CC9" w:rsidRDefault="00C945B0">
      <w:pPr>
        <w:jc w:val="both"/>
        <w:rPr>
          <w:rFonts w:ascii="Tahoma" w:hAnsi="Tahoma" w:cs="Tahoma"/>
          <w:sz w:val="18"/>
          <w:szCs w:val="18"/>
          <w:u w:val="single"/>
        </w:rPr>
      </w:pPr>
    </w:p>
    <w:p w:rsidR="00C945B0" w:rsidRPr="002D2CC9" w:rsidRDefault="008371E0" w:rsidP="0014044B">
      <w:pPr>
        <w:pStyle w:val="BodyTextIndent"/>
        <w:rPr>
          <w:rFonts w:cs="Tahoma"/>
          <w:sz w:val="20"/>
        </w:rPr>
      </w:pPr>
      <w:r w:rsidRPr="008371E0">
        <w:rPr>
          <w:rFonts w:cs="Tahoma"/>
          <w:sz w:val="20"/>
        </w:rPr>
        <w:t xml:space="preserve">The Group registered </w:t>
      </w:r>
      <w:r w:rsidR="00F55C1F">
        <w:rPr>
          <w:rFonts w:cs="Tahoma"/>
          <w:sz w:val="20"/>
        </w:rPr>
        <w:t xml:space="preserve">a turnover of </w:t>
      </w:r>
      <w:r w:rsidRPr="008371E0">
        <w:rPr>
          <w:rFonts w:cs="Tahoma"/>
          <w:sz w:val="20"/>
        </w:rPr>
        <w:t>RM75.5 million for the quarter ended 31 January 2016 (“current quarter”) as compared to the turnover of RM54.7 million in the previous year corresponding period. Profit before tax for the current quarter was at RM8.8 million as compared to profit before tax of RM1.3 million for the previous year corresponding period.</w:t>
      </w:r>
    </w:p>
    <w:p w:rsidR="00C945B0" w:rsidRPr="002D2CC9" w:rsidRDefault="00C945B0" w:rsidP="008A7A25">
      <w:pPr>
        <w:pStyle w:val="BodyTextIndent"/>
        <w:ind w:left="0"/>
        <w:rPr>
          <w:rFonts w:cs="Tahoma"/>
          <w:sz w:val="18"/>
          <w:szCs w:val="18"/>
        </w:rPr>
      </w:pPr>
    </w:p>
    <w:p w:rsidR="00F95DA3" w:rsidRPr="002D2CC9" w:rsidRDefault="008371E0" w:rsidP="003A5D4B">
      <w:pPr>
        <w:ind w:left="720"/>
        <w:jc w:val="both"/>
        <w:rPr>
          <w:rFonts w:ascii="Tahoma" w:hAnsi="Tahoma" w:cs="Tahoma"/>
          <w:i/>
          <w:color w:val="000000"/>
        </w:rPr>
      </w:pPr>
      <w:r w:rsidRPr="008371E0">
        <w:rPr>
          <w:rFonts w:ascii="Tahoma" w:hAnsi="Tahoma" w:cs="Tahoma"/>
        </w:rPr>
        <w:t>The furniture segment continued to contribute majority of the Group’s revenue. The furniture segment contributed RM62.4 million and RM10.0 million in turnover and profit before tax respectively for the current quarter. Comparatively, the turnover</w:t>
      </w:r>
      <w:r w:rsidRPr="008371E0">
        <w:rPr>
          <w:rFonts w:ascii="Tahoma" w:hAnsi="Tahoma" w:cs="Tahoma"/>
          <w:color w:val="000000"/>
        </w:rPr>
        <w:t xml:space="preserve"> and profit before tax for previous year corresponding period were RM44.1 million and RM2.9 million respectively. The turnover and profit before tax for the current quarter were higher than the previous year corresponding period mainly due to </w:t>
      </w:r>
      <w:r w:rsidR="00A24367">
        <w:rPr>
          <w:rFonts w:ascii="Tahoma" w:hAnsi="Tahoma" w:cs="Tahoma"/>
          <w:color w:val="000000"/>
        </w:rPr>
        <w:t>improved operational efficiency, improved market sentiment in the North American and Asian market</w:t>
      </w:r>
      <w:r w:rsidRPr="008371E0">
        <w:rPr>
          <w:rFonts w:ascii="Tahoma" w:hAnsi="Tahoma" w:cs="Tahoma"/>
          <w:color w:val="000000"/>
        </w:rPr>
        <w:t xml:space="preserve"> and strengthening of United States Dollar (USD) compared </w:t>
      </w:r>
      <w:r w:rsidR="00A24367">
        <w:rPr>
          <w:rFonts w:ascii="Tahoma" w:hAnsi="Tahoma" w:cs="Tahoma"/>
          <w:color w:val="000000"/>
        </w:rPr>
        <w:t xml:space="preserve">with </w:t>
      </w:r>
      <w:r w:rsidRPr="008371E0">
        <w:rPr>
          <w:rFonts w:ascii="Tahoma" w:hAnsi="Tahoma" w:cs="Tahoma"/>
          <w:color w:val="000000"/>
        </w:rPr>
        <w:t>Malaysian Ringgit (MYR).</w:t>
      </w:r>
    </w:p>
    <w:p w:rsidR="000035ED" w:rsidRPr="002D2CC9" w:rsidRDefault="000035ED" w:rsidP="000035ED">
      <w:pPr>
        <w:ind w:left="720"/>
        <w:jc w:val="both"/>
        <w:rPr>
          <w:rFonts w:ascii="Tahoma" w:hAnsi="Tahoma" w:cs="Tahoma"/>
          <w:sz w:val="18"/>
          <w:szCs w:val="18"/>
        </w:rPr>
      </w:pPr>
    </w:p>
    <w:p w:rsidR="000035ED" w:rsidRPr="002D2CC9" w:rsidRDefault="00A06AA4" w:rsidP="000035ED">
      <w:pPr>
        <w:ind w:left="720"/>
        <w:jc w:val="both"/>
        <w:rPr>
          <w:rFonts w:ascii="Tahoma" w:hAnsi="Tahoma" w:cs="Tahoma"/>
          <w:color w:val="000000"/>
        </w:rPr>
      </w:pPr>
      <w:r>
        <w:rPr>
          <w:rFonts w:ascii="Tahoma" w:hAnsi="Tahoma" w:cs="Tahoma"/>
          <w:color w:val="000000"/>
        </w:rPr>
        <w:t>The kiln-drying segment registered RM9.4 million in turnover and profit before tax of RM0.04 million for the current quarter compared with turnover of RM</w:t>
      </w:r>
      <w:r w:rsidR="008371E0" w:rsidRPr="008371E0">
        <w:rPr>
          <w:rFonts w:ascii="Tahoma" w:hAnsi="Tahoma" w:cs="Tahoma"/>
          <w:color w:val="000000"/>
        </w:rPr>
        <w:t xml:space="preserve">7.5 million and loss before tax of RM0.9 million in the previous year corresponding period. The turnover and profit before tax for the current quarter as compared to loss before tax in the previous year corresponding period was due to </w:t>
      </w:r>
      <w:r w:rsidR="00F55C1F" w:rsidRPr="002D2CC9">
        <w:rPr>
          <w:rFonts w:ascii="Tahoma" w:hAnsi="Tahoma" w:cs="Tahoma"/>
          <w:color w:val="000000"/>
        </w:rPr>
        <w:t>higher turnover</w:t>
      </w:r>
      <w:r w:rsidR="00F55C1F">
        <w:rPr>
          <w:rFonts w:ascii="Tahoma" w:hAnsi="Tahoma" w:cs="Tahoma"/>
          <w:color w:val="000000"/>
        </w:rPr>
        <w:t xml:space="preserve"> and </w:t>
      </w:r>
      <w:r>
        <w:rPr>
          <w:rFonts w:ascii="Tahoma" w:hAnsi="Tahoma" w:cs="Tahoma"/>
          <w:color w:val="000000"/>
        </w:rPr>
        <w:t>improved operational efficiency.</w:t>
      </w:r>
    </w:p>
    <w:p w:rsidR="00D80A2D" w:rsidRPr="002D2CC9" w:rsidRDefault="00D80A2D" w:rsidP="000035ED">
      <w:pPr>
        <w:ind w:left="720"/>
        <w:jc w:val="both"/>
        <w:rPr>
          <w:rFonts w:ascii="Tahoma" w:hAnsi="Tahoma" w:cs="Tahoma"/>
          <w:color w:val="000000"/>
          <w:sz w:val="18"/>
          <w:szCs w:val="18"/>
        </w:rPr>
      </w:pPr>
    </w:p>
    <w:p w:rsidR="00D80A2D" w:rsidRPr="002D2CC9" w:rsidRDefault="00A06AA4" w:rsidP="000035ED">
      <w:pPr>
        <w:ind w:left="720"/>
        <w:jc w:val="both"/>
        <w:rPr>
          <w:rFonts w:ascii="Tahoma" w:hAnsi="Tahoma" w:cs="Tahoma"/>
          <w:color w:val="000000"/>
        </w:rPr>
      </w:pPr>
      <w:r>
        <w:rPr>
          <w:rFonts w:ascii="Tahoma" w:hAnsi="Tahoma" w:cs="Tahoma"/>
          <w:color w:val="000000"/>
        </w:rPr>
        <w:t>The carton boxes segment contributed RM8.0 million in turnover and profit before tax of RM0.7 million for the current quarter compared with turnover of RM6.</w:t>
      </w:r>
      <w:r w:rsidR="008371E0" w:rsidRPr="008371E0">
        <w:rPr>
          <w:rFonts w:ascii="Tahoma" w:hAnsi="Tahoma" w:cs="Tahoma"/>
          <w:color w:val="000000"/>
        </w:rPr>
        <w:t xml:space="preserve">8 million and profit before tax of RM0.6 million in the previous year corresponding period. The turnover and profitability in this segment were higher than the previous year corresponding period due to higher demand in the furniture industry.  </w:t>
      </w:r>
    </w:p>
    <w:p w:rsidR="00827786" w:rsidRPr="002D2CC9" w:rsidRDefault="00827786" w:rsidP="000035ED">
      <w:pPr>
        <w:ind w:left="720"/>
        <w:jc w:val="both"/>
        <w:rPr>
          <w:rFonts w:ascii="Tahoma" w:hAnsi="Tahoma" w:cs="Tahoma"/>
          <w:color w:val="000000"/>
          <w:sz w:val="18"/>
          <w:szCs w:val="18"/>
        </w:rPr>
      </w:pPr>
    </w:p>
    <w:p w:rsidR="0054576C" w:rsidRPr="002D2CC9" w:rsidRDefault="00A06AA4" w:rsidP="00E465E2">
      <w:pPr>
        <w:autoSpaceDE w:val="0"/>
        <w:autoSpaceDN w:val="0"/>
        <w:adjustRightInd w:val="0"/>
        <w:ind w:left="720"/>
        <w:jc w:val="both"/>
        <w:rPr>
          <w:rFonts w:ascii="Tahoma" w:hAnsi="Tahoma" w:cs="Tahoma"/>
          <w:lang w:eastAsia="zh-CN"/>
        </w:rPr>
      </w:pPr>
      <w:r>
        <w:rPr>
          <w:rFonts w:ascii="Tahoma" w:hAnsi="Tahoma" w:cs="Tahoma"/>
          <w:color w:val="000000"/>
        </w:rPr>
        <w:t xml:space="preserve">The renewable energy segment contributed RM2.1 million in turnover but incurred a loss before tax of RM0.2 million for the current quarter compared with </w:t>
      </w:r>
      <w:r w:rsidR="008371E0" w:rsidRPr="008371E0">
        <w:rPr>
          <w:rFonts w:ascii="Tahoma" w:hAnsi="Tahoma" w:cs="Tahoma"/>
          <w:lang w:eastAsia="zh-CN"/>
        </w:rPr>
        <w:t>turnover of RM1.4 million and loss before tax of RM0.7 million in the previous year corresponding period</w:t>
      </w:r>
      <w:r w:rsidR="008371E0" w:rsidRPr="008371E0">
        <w:rPr>
          <w:rFonts w:ascii="Tahoma" w:hAnsi="Tahoma" w:cs="Tahoma"/>
          <w:color w:val="000000"/>
        </w:rPr>
        <w:t xml:space="preserve">. </w:t>
      </w:r>
      <w:r w:rsidR="008371E0" w:rsidRPr="008371E0">
        <w:rPr>
          <w:rFonts w:ascii="Tahoma" w:hAnsi="Tahoma" w:cs="Tahoma"/>
          <w:lang w:eastAsia="zh-CN"/>
        </w:rPr>
        <w:t>The reduced loss in this business segment was mainly due to increase in production output and improvement in production efficiency.</w:t>
      </w:r>
    </w:p>
    <w:p w:rsidR="00E465E2" w:rsidRPr="002D2CC9" w:rsidRDefault="00E465E2" w:rsidP="00E465E2">
      <w:pPr>
        <w:autoSpaceDE w:val="0"/>
        <w:autoSpaceDN w:val="0"/>
        <w:adjustRightInd w:val="0"/>
        <w:ind w:left="720"/>
        <w:rPr>
          <w:rFonts w:ascii="Tahoma" w:hAnsi="Tahoma" w:cs="Tahoma"/>
          <w:color w:val="000000"/>
          <w:sz w:val="16"/>
          <w:szCs w:val="16"/>
        </w:rPr>
      </w:pPr>
    </w:p>
    <w:p w:rsidR="00615614" w:rsidRPr="002D2CC9" w:rsidRDefault="00615614" w:rsidP="008A7A25">
      <w:pPr>
        <w:jc w:val="both"/>
        <w:rPr>
          <w:rFonts w:ascii="Tahoma" w:hAnsi="Tahoma" w:cs="Tahoma"/>
          <w:color w:val="000000"/>
          <w:sz w:val="16"/>
          <w:szCs w:val="16"/>
        </w:rPr>
      </w:pPr>
    </w:p>
    <w:p w:rsidR="00C945B0" w:rsidRPr="002D2CC9" w:rsidRDefault="008371E0">
      <w:pPr>
        <w:pStyle w:val="Heading4"/>
        <w:rPr>
          <w:rFonts w:cs="Tahoma"/>
          <w:color w:val="000000"/>
          <w:sz w:val="20"/>
        </w:rPr>
      </w:pPr>
      <w:r w:rsidRPr="008371E0">
        <w:rPr>
          <w:rFonts w:cs="Tahoma"/>
          <w:color w:val="000000"/>
          <w:sz w:val="20"/>
        </w:rPr>
        <w:t>B2.</w:t>
      </w:r>
      <w:r w:rsidRPr="008371E0">
        <w:rPr>
          <w:rFonts w:cs="Tahoma"/>
          <w:color w:val="000000"/>
          <w:sz w:val="20"/>
        </w:rPr>
        <w:tab/>
        <w:t>Quarterly Analysis</w:t>
      </w:r>
    </w:p>
    <w:p w:rsidR="00C945B0" w:rsidRPr="002D2CC9" w:rsidRDefault="00C945B0">
      <w:pPr>
        <w:ind w:left="720" w:hanging="720"/>
        <w:jc w:val="both"/>
        <w:rPr>
          <w:rFonts w:ascii="Tahoma" w:hAnsi="Tahoma" w:cs="Tahoma"/>
          <w:color w:val="000000"/>
          <w:sz w:val="18"/>
          <w:szCs w:val="18"/>
        </w:rPr>
      </w:pPr>
    </w:p>
    <w:p w:rsidR="00874054" w:rsidRPr="00813647" w:rsidRDefault="00A06AA4" w:rsidP="00874054">
      <w:pPr>
        <w:ind w:left="720"/>
        <w:jc w:val="both"/>
        <w:rPr>
          <w:rFonts w:ascii="Tahoma" w:hAnsi="Tahoma" w:cs="Tahoma"/>
          <w:color w:val="000000"/>
        </w:rPr>
      </w:pPr>
      <w:r>
        <w:rPr>
          <w:rFonts w:ascii="Tahoma" w:hAnsi="Tahoma" w:cs="Tahoma"/>
        </w:rPr>
        <w:t xml:space="preserve">The Group recorded turnover of RM75.5 million and profit before tax of RM8.8 million for the current quarter as compared to last quarter’s turnover and profit before tax of RM76.7 million and RM6.3 million respectively. </w:t>
      </w:r>
      <w:r w:rsidR="008371E0" w:rsidRPr="008371E0">
        <w:rPr>
          <w:rFonts w:ascii="Tahoma" w:hAnsi="Tahoma" w:cs="Tahoma"/>
          <w:color w:val="000000"/>
        </w:rPr>
        <w:t>The turnover and profitability for the current quarter had increased compared to the last quarter due to the explanation as set out in Note B1 above and improved operational efficiency from the furniture segment.</w:t>
      </w:r>
    </w:p>
    <w:p w:rsidR="00F674E9" w:rsidRPr="00813647" w:rsidRDefault="00F674E9" w:rsidP="00101F03">
      <w:pPr>
        <w:jc w:val="both"/>
        <w:rPr>
          <w:rFonts w:ascii="Tahoma" w:hAnsi="Tahoma" w:cs="Tahoma"/>
          <w:sz w:val="16"/>
          <w:szCs w:val="16"/>
        </w:rPr>
      </w:pPr>
    </w:p>
    <w:p w:rsidR="00615614" w:rsidRPr="00813647" w:rsidRDefault="00615614" w:rsidP="00101F03">
      <w:pPr>
        <w:jc w:val="both"/>
        <w:rPr>
          <w:rFonts w:ascii="Tahoma" w:hAnsi="Tahoma" w:cs="Tahoma"/>
          <w:sz w:val="16"/>
          <w:szCs w:val="16"/>
        </w:rPr>
      </w:pPr>
    </w:p>
    <w:p w:rsidR="00C945B0" w:rsidRPr="00813647" w:rsidRDefault="00C945B0" w:rsidP="0007146A">
      <w:pPr>
        <w:pStyle w:val="Heading4"/>
        <w:rPr>
          <w:rFonts w:cs="Tahoma"/>
          <w:sz w:val="20"/>
        </w:rPr>
      </w:pPr>
      <w:r w:rsidRPr="00813647">
        <w:rPr>
          <w:rFonts w:cs="Tahoma"/>
          <w:sz w:val="20"/>
        </w:rPr>
        <w:t>B3.</w:t>
      </w:r>
      <w:r w:rsidRPr="00813647">
        <w:rPr>
          <w:rFonts w:cs="Tahoma"/>
          <w:sz w:val="20"/>
        </w:rPr>
        <w:tab/>
        <w:t>Current Year Prospects</w:t>
      </w:r>
    </w:p>
    <w:p w:rsidR="00C945B0" w:rsidRPr="00813647" w:rsidRDefault="00C945B0">
      <w:pPr>
        <w:pStyle w:val="BodyTextIndent"/>
        <w:rPr>
          <w:rFonts w:cs="Tahoma"/>
          <w:sz w:val="18"/>
          <w:szCs w:val="18"/>
        </w:rPr>
      </w:pPr>
    </w:p>
    <w:p w:rsidR="00DD75DB" w:rsidRPr="00813647" w:rsidRDefault="00DF0924" w:rsidP="0083135D">
      <w:pPr>
        <w:pStyle w:val="BodyTextIndent"/>
        <w:rPr>
          <w:rFonts w:cs="Tahoma"/>
          <w:sz w:val="20"/>
        </w:rPr>
      </w:pPr>
      <w:r w:rsidRPr="00813647">
        <w:rPr>
          <w:rFonts w:cs="Tahoma"/>
          <w:sz w:val="20"/>
        </w:rPr>
        <w:t>The furniture industry remains</w:t>
      </w:r>
      <w:r w:rsidR="00DD75DB" w:rsidRPr="00813647">
        <w:rPr>
          <w:rFonts w:cs="Tahoma"/>
          <w:sz w:val="20"/>
        </w:rPr>
        <w:t xml:space="preserve"> the Group’s core business.  The Group will continue to focus on controlling its c</w:t>
      </w:r>
      <w:r w:rsidR="00BE1553" w:rsidRPr="00813647">
        <w:rPr>
          <w:rFonts w:cs="Tahoma"/>
          <w:sz w:val="20"/>
        </w:rPr>
        <w:t xml:space="preserve">ost structure and exploring new </w:t>
      </w:r>
      <w:r w:rsidR="00DD75DB" w:rsidRPr="00813647">
        <w:rPr>
          <w:rFonts w:cs="Tahoma"/>
          <w:sz w:val="20"/>
        </w:rPr>
        <w:t>markets for its products</w:t>
      </w:r>
      <w:r w:rsidR="00D07222">
        <w:rPr>
          <w:rFonts w:cs="Tahoma"/>
          <w:sz w:val="20"/>
        </w:rPr>
        <w:t xml:space="preserve"> in order</w:t>
      </w:r>
      <w:r w:rsidR="00E84308" w:rsidRPr="00813647">
        <w:rPr>
          <w:rFonts w:cs="Tahoma"/>
          <w:sz w:val="20"/>
        </w:rPr>
        <w:t xml:space="preserve"> to achieve </w:t>
      </w:r>
      <w:r w:rsidR="003C3232" w:rsidRPr="00813647">
        <w:rPr>
          <w:rFonts w:cs="Tahoma"/>
          <w:sz w:val="20"/>
        </w:rPr>
        <w:t xml:space="preserve">better profits and </w:t>
      </w:r>
      <w:r w:rsidR="007F0AF6" w:rsidRPr="00813647">
        <w:rPr>
          <w:rFonts w:cs="Tahoma"/>
          <w:sz w:val="20"/>
        </w:rPr>
        <w:t xml:space="preserve">business </w:t>
      </w:r>
      <w:r w:rsidR="003C3232" w:rsidRPr="00813647">
        <w:rPr>
          <w:rFonts w:cs="Tahoma"/>
          <w:sz w:val="20"/>
        </w:rPr>
        <w:t>growth</w:t>
      </w:r>
      <w:r w:rsidR="00DD75DB" w:rsidRPr="00813647">
        <w:rPr>
          <w:rFonts w:cs="Tahoma"/>
          <w:sz w:val="20"/>
        </w:rPr>
        <w:t>.</w:t>
      </w:r>
    </w:p>
    <w:p w:rsidR="00A07AE0" w:rsidRPr="00813647" w:rsidRDefault="00A07AE0" w:rsidP="00456854">
      <w:pPr>
        <w:pStyle w:val="BodyTextIndent"/>
        <w:ind w:left="0"/>
        <w:rPr>
          <w:rFonts w:cs="Tahoma"/>
          <w:sz w:val="16"/>
          <w:szCs w:val="16"/>
        </w:rPr>
      </w:pPr>
    </w:p>
    <w:p w:rsidR="00A07AE0" w:rsidRPr="00813647" w:rsidRDefault="00A07AE0" w:rsidP="00456854">
      <w:pPr>
        <w:pStyle w:val="BodyTextIndent"/>
        <w:ind w:left="0"/>
        <w:rPr>
          <w:rFonts w:cs="Tahoma"/>
          <w:sz w:val="16"/>
          <w:szCs w:val="16"/>
        </w:rPr>
      </w:pPr>
    </w:p>
    <w:p w:rsidR="00C945B0" w:rsidRPr="00813647" w:rsidRDefault="00C945B0">
      <w:pPr>
        <w:pStyle w:val="Heading4"/>
        <w:rPr>
          <w:rFonts w:cs="Tahoma"/>
          <w:sz w:val="20"/>
        </w:rPr>
      </w:pPr>
      <w:r w:rsidRPr="00813647">
        <w:rPr>
          <w:rFonts w:cs="Tahoma"/>
          <w:sz w:val="20"/>
        </w:rPr>
        <w:t>B4.</w:t>
      </w:r>
      <w:r w:rsidRPr="00813647">
        <w:rPr>
          <w:rFonts w:cs="Tahoma"/>
          <w:sz w:val="20"/>
        </w:rPr>
        <w:tab/>
        <w:t xml:space="preserve">Profit Forecast </w:t>
      </w:r>
    </w:p>
    <w:p w:rsidR="00C945B0" w:rsidRPr="00813647" w:rsidRDefault="00C945B0">
      <w:pPr>
        <w:jc w:val="both"/>
        <w:rPr>
          <w:rFonts w:ascii="Tahoma" w:hAnsi="Tahoma" w:cs="Tahoma"/>
          <w:sz w:val="18"/>
          <w:szCs w:val="18"/>
        </w:rPr>
      </w:pPr>
    </w:p>
    <w:p w:rsidR="00C945B0" w:rsidRPr="00813647" w:rsidRDefault="00C945B0">
      <w:pPr>
        <w:ind w:left="720"/>
        <w:jc w:val="both"/>
        <w:rPr>
          <w:rFonts w:ascii="Tahoma" w:hAnsi="Tahoma" w:cs="Tahoma"/>
        </w:rPr>
      </w:pPr>
      <w:r w:rsidRPr="00813647">
        <w:rPr>
          <w:rFonts w:ascii="Tahoma" w:hAnsi="Tahoma" w:cs="Tahoma"/>
        </w:rPr>
        <w:t xml:space="preserve">There is no profit forecast issued for the current financial </w:t>
      </w:r>
      <w:r w:rsidR="00E465E2" w:rsidRPr="00813647">
        <w:rPr>
          <w:rFonts w:ascii="Tahoma" w:hAnsi="Tahoma" w:cs="Tahoma"/>
        </w:rPr>
        <w:t>period</w:t>
      </w:r>
      <w:r w:rsidRPr="00813647">
        <w:rPr>
          <w:rFonts w:ascii="Tahoma" w:hAnsi="Tahoma" w:cs="Tahoma"/>
        </w:rPr>
        <w:t xml:space="preserve"> under review.</w:t>
      </w:r>
    </w:p>
    <w:p w:rsidR="00BF68ED" w:rsidRDefault="00BF68ED">
      <w:pPr>
        <w:ind w:left="720"/>
        <w:jc w:val="both"/>
        <w:rPr>
          <w:rFonts w:ascii="Tahoma" w:hAnsi="Tahoma" w:cs="Tahoma"/>
        </w:rPr>
      </w:pPr>
    </w:p>
    <w:p w:rsidR="00D07222" w:rsidRPr="00813647" w:rsidRDefault="00D07222">
      <w:pPr>
        <w:ind w:left="720"/>
        <w:jc w:val="both"/>
        <w:rPr>
          <w:rFonts w:ascii="Tahoma" w:hAnsi="Tahoma" w:cs="Tahoma"/>
        </w:rPr>
      </w:pPr>
    </w:p>
    <w:p w:rsidR="00813647" w:rsidRPr="00813647" w:rsidRDefault="00813647">
      <w:pPr>
        <w:ind w:left="720"/>
        <w:jc w:val="both"/>
        <w:rPr>
          <w:rFonts w:ascii="Tahoma" w:hAnsi="Tahoma" w:cs="Tahoma"/>
        </w:rPr>
      </w:pPr>
    </w:p>
    <w:p w:rsidR="00C945B0" w:rsidRPr="00813647" w:rsidRDefault="00C945B0">
      <w:pPr>
        <w:pStyle w:val="Heading4"/>
        <w:rPr>
          <w:rFonts w:cs="Tahoma"/>
          <w:sz w:val="20"/>
        </w:rPr>
      </w:pPr>
      <w:r w:rsidRPr="00813647">
        <w:rPr>
          <w:rFonts w:cs="Tahoma"/>
          <w:sz w:val="20"/>
        </w:rPr>
        <w:t>B</w:t>
      </w:r>
      <w:r w:rsidR="00A1702D" w:rsidRPr="00813647">
        <w:rPr>
          <w:rFonts w:cs="Tahoma"/>
          <w:sz w:val="20"/>
        </w:rPr>
        <w:t>5</w:t>
      </w:r>
      <w:r w:rsidRPr="00813647">
        <w:rPr>
          <w:rFonts w:cs="Tahoma"/>
          <w:sz w:val="20"/>
        </w:rPr>
        <w:t>.</w:t>
      </w:r>
      <w:r w:rsidRPr="00813647">
        <w:rPr>
          <w:rFonts w:cs="Tahoma"/>
          <w:sz w:val="20"/>
        </w:rPr>
        <w:tab/>
        <w:t>Taxation</w:t>
      </w:r>
    </w:p>
    <w:p w:rsidR="00C945B0" w:rsidRPr="00813647" w:rsidRDefault="00C945B0">
      <w:pPr>
        <w:jc w:val="both"/>
        <w:rPr>
          <w:rFonts w:ascii="Tahoma" w:hAnsi="Tahoma" w:cs="Tahoma"/>
        </w:rPr>
      </w:pPr>
    </w:p>
    <w:p w:rsidR="00C945B0" w:rsidRPr="00813647" w:rsidRDefault="00C945B0">
      <w:pPr>
        <w:jc w:val="both"/>
        <w:rPr>
          <w:rFonts w:ascii="Tahoma" w:hAnsi="Tahoma" w:cs="Tahoma"/>
        </w:rPr>
      </w:pPr>
      <w:r w:rsidRPr="00813647">
        <w:rPr>
          <w:rFonts w:ascii="Tahoma" w:hAnsi="Tahoma" w:cs="Tahoma"/>
        </w:rPr>
        <w:tab/>
        <w:t>The tax charges comprise: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5"/>
        <w:gridCol w:w="1640"/>
        <w:gridCol w:w="1458"/>
      </w:tblGrid>
      <w:tr w:rsidR="00C945B0" w:rsidRPr="00813647">
        <w:trPr>
          <w:trHeight w:val="647"/>
        </w:trPr>
        <w:tc>
          <w:tcPr>
            <w:tcW w:w="5285" w:type="dxa"/>
          </w:tcPr>
          <w:p w:rsidR="00C945B0" w:rsidRPr="00813647" w:rsidRDefault="00C945B0">
            <w:pPr>
              <w:jc w:val="both"/>
              <w:rPr>
                <w:rFonts w:ascii="Tahoma" w:hAnsi="Tahoma" w:cs="Tahoma"/>
              </w:rPr>
            </w:pPr>
          </w:p>
        </w:tc>
        <w:tc>
          <w:tcPr>
            <w:tcW w:w="1640" w:type="dxa"/>
          </w:tcPr>
          <w:p w:rsidR="00C945B0" w:rsidRPr="00813647" w:rsidRDefault="00C945B0">
            <w:pPr>
              <w:jc w:val="right"/>
              <w:rPr>
                <w:rFonts w:ascii="Tahoma" w:hAnsi="Tahoma" w:cs="Tahoma"/>
              </w:rPr>
            </w:pPr>
          </w:p>
          <w:p w:rsidR="00C945B0" w:rsidRPr="00813647" w:rsidRDefault="00C945B0">
            <w:pPr>
              <w:jc w:val="right"/>
              <w:rPr>
                <w:rFonts w:ascii="Tahoma" w:hAnsi="Tahoma" w:cs="Tahoma"/>
              </w:rPr>
            </w:pPr>
            <w:r w:rsidRPr="00813647">
              <w:rPr>
                <w:rFonts w:ascii="Tahoma" w:hAnsi="Tahoma" w:cs="Tahoma"/>
              </w:rPr>
              <w:t>Current Quarter</w:t>
            </w:r>
          </w:p>
          <w:p w:rsidR="00C945B0" w:rsidRPr="00813647" w:rsidRDefault="00C945B0">
            <w:pPr>
              <w:jc w:val="right"/>
              <w:rPr>
                <w:rFonts w:ascii="Tahoma" w:hAnsi="Tahoma" w:cs="Tahoma"/>
              </w:rPr>
            </w:pPr>
            <w:r w:rsidRPr="00813647">
              <w:rPr>
                <w:rFonts w:ascii="Tahoma" w:hAnsi="Tahoma" w:cs="Tahoma"/>
              </w:rPr>
              <w:t>RM’000</w:t>
            </w:r>
          </w:p>
        </w:tc>
        <w:tc>
          <w:tcPr>
            <w:tcW w:w="1458" w:type="dxa"/>
          </w:tcPr>
          <w:p w:rsidR="00C945B0" w:rsidRPr="00813647" w:rsidRDefault="00C945B0">
            <w:pPr>
              <w:jc w:val="right"/>
              <w:rPr>
                <w:rFonts w:ascii="Tahoma" w:hAnsi="Tahoma" w:cs="Tahoma"/>
              </w:rPr>
            </w:pPr>
            <w:r w:rsidRPr="00813647">
              <w:rPr>
                <w:rFonts w:ascii="Tahoma" w:hAnsi="Tahoma" w:cs="Tahoma"/>
              </w:rPr>
              <w:t xml:space="preserve">Financial </w:t>
            </w:r>
          </w:p>
          <w:p w:rsidR="00C945B0" w:rsidRPr="00813647" w:rsidRDefault="00C945B0">
            <w:pPr>
              <w:jc w:val="right"/>
              <w:rPr>
                <w:rFonts w:ascii="Tahoma" w:hAnsi="Tahoma" w:cs="Tahoma"/>
              </w:rPr>
            </w:pPr>
            <w:r w:rsidRPr="00813647">
              <w:rPr>
                <w:rFonts w:ascii="Tahoma" w:hAnsi="Tahoma" w:cs="Tahoma"/>
              </w:rPr>
              <w:t>year-to-date</w:t>
            </w:r>
          </w:p>
          <w:p w:rsidR="00C945B0" w:rsidRPr="00813647" w:rsidRDefault="00C945B0">
            <w:pPr>
              <w:jc w:val="right"/>
              <w:rPr>
                <w:rFonts w:ascii="Tahoma" w:hAnsi="Tahoma" w:cs="Tahoma"/>
              </w:rPr>
            </w:pPr>
            <w:r w:rsidRPr="00813647">
              <w:rPr>
                <w:rFonts w:ascii="Tahoma" w:hAnsi="Tahoma" w:cs="Tahoma"/>
              </w:rPr>
              <w:t>RM’000</w:t>
            </w:r>
          </w:p>
        </w:tc>
      </w:tr>
      <w:tr w:rsidR="00C945B0" w:rsidRPr="00813647">
        <w:trPr>
          <w:trHeight w:val="1228"/>
        </w:trPr>
        <w:tc>
          <w:tcPr>
            <w:tcW w:w="5285" w:type="dxa"/>
          </w:tcPr>
          <w:p w:rsidR="002637A1" w:rsidRPr="00813647" w:rsidRDefault="002637A1" w:rsidP="002637A1">
            <w:pPr>
              <w:numPr>
                <w:ilvl w:val="0"/>
                <w:numId w:val="2"/>
              </w:numPr>
              <w:jc w:val="both"/>
              <w:rPr>
                <w:rFonts w:ascii="Tahoma" w:hAnsi="Tahoma" w:cs="Tahoma"/>
              </w:rPr>
            </w:pPr>
            <w:r w:rsidRPr="00813647">
              <w:rPr>
                <w:rFonts w:ascii="Tahoma" w:hAnsi="Tahoma" w:cs="Tahoma"/>
              </w:rPr>
              <w:t>Company and Subsidiary Companies</w:t>
            </w:r>
          </w:p>
          <w:p w:rsidR="00C945B0" w:rsidRPr="00813647" w:rsidRDefault="00C945B0">
            <w:pPr>
              <w:jc w:val="both"/>
              <w:rPr>
                <w:rFonts w:ascii="Tahoma" w:hAnsi="Tahoma" w:cs="Tahoma"/>
              </w:rPr>
            </w:pPr>
            <w:r w:rsidRPr="00813647">
              <w:rPr>
                <w:rFonts w:ascii="Tahoma" w:hAnsi="Tahoma" w:cs="Tahoma"/>
              </w:rPr>
              <w:t xml:space="preserve">– </w:t>
            </w:r>
            <w:r w:rsidR="002637A1" w:rsidRPr="00813647">
              <w:rPr>
                <w:rFonts w:ascii="Tahoma" w:hAnsi="Tahoma" w:cs="Tahoma"/>
              </w:rPr>
              <w:t>Income Tax</w:t>
            </w:r>
          </w:p>
          <w:p w:rsidR="00AC483E" w:rsidRPr="00813647" w:rsidRDefault="004C3659" w:rsidP="000552CC">
            <w:pPr>
              <w:jc w:val="both"/>
              <w:rPr>
                <w:rFonts w:ascii="Tahoma" w:hAnsi="Tahoma" w:cs="Tahoma"/>
              </w:rPr>
            </w:pPr>
            <w:r w:rsidRPr="00813647">
              <w:rPr>
                <w:rFonts w:ascii="Tahoma" w:hAnsi="Tahoma" w:cs="Tahoma"/>
              </w:rPr>
              <w:t>–</w:t>
            </w:r>
            <w:r w:rsidR="00C945B0" w:rsidRPr="00813647">
              <w:rPr>
                <w:rFonts w:ascii="Tahoma" w:hAnsi="Tahoma" w:cs="Tahoma"/>
              </w:rPr>
              <w:t xml:space="preserve"> Deferred Tax</w:t>
            </w:r>
          </w:p>
          <w:p w:rsidR="00AC483E" w:rsidRPr="00813647" w:rsidRDefault="00AC483E" w:rsidP="00AC483E">
            <w:pPr>
              <w:rPr>
                <w:rFonts w:ascii="Tahoma" w:hAnsi="Tahoma" w:cs="Tahoma"/>
              </w:rPr>
            </w:pPr>
          </w:p>
          <w:p w:rsidR="00C945B0" w:rsidRPr="00813647" w:rsidRDefault="00C945B0" w:rsidP="00AC483E">
            <w:pPr>
              <w:rPr>
                <w:rFonts w:ascii="Tahoma" w:hAnsi="Tahoma" w:cs="Tahoma"/>
              </w:rPr>
            </w:pPr>
          </w:p>
        </w:tc>
        <w:tc>
          <w:tcPr>
            <w:tcW w:w="1640" w:type="dxa"/>
          </w:tcPr>
          <w:p w:rsidR="00C945B0" w:rsidRPr="00813647" w:rsidRDefault="00C945B0">
            <w:pPr>
              <w:jc w:val="right"/>
              <w:rPr>
                <w:rFonts w:ascii="Tahoma" w:hAnsi="Tahoma" w:cs="Tahoma"/>
              </w:rPr>
            </w:pPr>
          </w:p>
          <w:p w:rsidR="00C945B0" w:rsidRPr="00813647" w:rsidRDefault="001054E7" w:rsidP="007B58D3">
            <w:pPr>
              <w:ind w:right="100"/>
              <w:jc w:val="right"/>
              <w:rPr>
                <w:rFonts w:ascii="Tahoma" w:hAnsi="Tahoma" w:cs="Tahoma"/>
              </w:rPr>
            </w:pPr>
            <w:r>
              <w:rPr>
                <w:rFonts w:ascii="Tahoma" w:hAnsi="Tahoma" w:cs="Tahoma"/>
              </w:rPr>
              <w:t>2,350</w:t>
            </w:r>
          </w:p>
          <w:p w:rsidR="00C945B0" w:rsidRPr="00813647" w:rsidRDefault="008D560B" w:rsidP="007B58D3">
            <w:pPr>
              <w:ind w:right="100"/>
              <w:jc w:val="right"/>
              <w:rPr>
                <w:rFonts w:ascii="Tahoma" w:hAnsi="Tahoma" w:cs="Tahoma"/>
              </w:rPr>
            </w:pPr>
            <w:r w:rsidRPr="00813647">
              <w:rPr>
                <w:rFonts w:ascii="Tahoma" w:hAnsi="Tahoma" w:cs="Tahoma"/>
              </w:rPr>
              <w:t>-</w:t>
            </w:r>
          </w:p>
          <w:p w:rsidR="008371E0" w:rsidRDefault="008B1BFD" w:rsidP="008371E0">
            <w:pPr>
              <w:pBdr>
                <w:top w:val="single" w:sz="6" w:space="1" w:color="auto"/>
                <w:bottom w:val="single" w:sz="6" w:space="1" w:color="auto"/>
              </w:pBdr>
              <w:ind w:right="100"/>
              <w:jc w:val="right"/>
              <w:rPr>
                <w:rFonts w:ascii="Tahoma" w:hAnsi="Tahoma" w:cs="Tahoma"/>
              </w:rPr>
            </w:pPr>
            <w:r>
              <w:rPr>
                <w:rFonts w:ascii="Tahoma" w:hAnsi="Tahoma" w:cs="Tahoma"/>
              </w:rPr>
              <w:t>2,350</w:t>
            </w:r>
          </w:p>
          <w:p w:rsidR="00C945B0" w:rsidRPr="00813647" w:rsidRDefault="00C945B0" w:rsidP="000552CC">
            <w:pPr>
              <w:rPr>
                <w:rFonts w:ascii="Tahoma" w:hAnsi="Tahoma" w:cs="Tahoma"/>
              </w:rPr>
            </w:pPr>
          </w:p>
        </w:tc>
        <w:tc>
          <w:tcPr>
            <w:tcW w:w="1458" w:type="dxa"/>
          </w:tcPr>
          <w:p w:rsidR="00C945B0" w:rsidRPr="00813647" w:rsidRDefault="00C945B0">
            <w:pPr>
              <w:jc w:val="right"/>
              <w:rPr>
                <w:rFonts w:ascii="Tahoma" w:hAnsi="Tahoma" w:cs="Tahoma"/>
              </w:rPr>
            </w:pPr>
          </w:p>
          <w:p w:rsidR="00AA376C" w:rsidRPr="00813647" w:rsidRDefault="001054E7" w:rsidP="00AA376C">
            <w:pPr>
              <w:jc w:val="right"/>
              <w:rPr>
                <w:rFonts w:ascii="Tahoma" w:hAnsi="Tahoma" w:cs="Tahoma"/>
              </w:rPr>
            </w:pPr>
            <w:r>
              <w:rPr>
                <w:rFonts w:ascii="Tahoma" w:hAnsi="Tahoma" w:cs="Tahoma"/>
              </w:rPr>
              <w:t>3,194</w:t>
            </w:r>
          </w:p>
          <w:p w:rsidR="00AA376C" w:rsidRPr="00813647" w:rsidRDefault="008D560B" w:rsidP="00AA376C">
            <w:pPr>
              <w:jc w:val="right"/>
              <w:rPr>
                <w:rFonts w:ascii="Tahoma" w:hAnsi="Tahoma" w:cs="Tahoma"/>
              </w:rPr>
            </w:pPr>
            <w:r w:rsidRPr="00813647">
              <w:rPr>
                <w:rFonts w:ascii="Tahoma" w:hAnsi="Tahoma" w:cs="Tahoma"/>
              </w:rPr>
              <w:t>-</w:t>
            </w:r>
          </w:p>
          <w:p w:rsidR="000552CC" w:rsidRPr="00813647" w:rsidRDefault="00C945B0" w:rsidP="004C3659">
            <w:pPr>
              <w:pBdr>
                <w:top w:val="single" w:sz="6" w:space="1" w:color="auto"/>
                <w:bottom w:val="single" w:sz="6" w:space="1" w:color="auto"/>
              </w:pBdr>
              <w:jc w:val="right"/>
              <w:rPr>
                <w:rFonts w:ascii="Tahoma" w:hAnsi="Tahoma" w:cs="Tahoma"/>
              </w:rPr>
            </w:pPr>
            <w:r w:rsidRPr="00813647">
              <w:rPr>
                <w:rFonts w:ascii="Tahoma" w:hAnsi="Tahoma" w:cs="Tahoma"/>
              </w:rPr>
              <w:t xml:space="preserve">   </w:t>
            </w:r>
            <w:r w:rsidR="008B1BFD">
              <w:rPr>
                <w:rFonts w:ascii="Tahoma" w:hAnsi="Tahoma" w:cs="Tahoma"/>
              </w:rPr>
              <w:t>3,194</w:t>
            </w:r>
          </w:p>
          <w:p w:rsidR="00C945B0" w:rsidRPr="00813647" w:rsidRDefault="00C945B0" w:rsidP="000552CC">
            <w:pPr>
              <w:rPr>
                <w:rFonts w:ascii="Tahoma" w:hAnsi="Tahoma" w:cs="Tahoma"/>
              </w:rPr>
            </w:pPr>
          </w:p>
        </w:tc>
      </w:tr>
    </w:tbl>
    <w:p w:rsidR="003A76E0" w:rsidRPr="00813647" w:rsidRDefault="003A76E0" w:rsidP="004B0057">
      <w:pPr>
        <w:ind w:left="720"/>
        <w:jc w:val="both"/>
        <w:rPr>
          <w:rFonts w:ascii="Tahoma" w:hAnsi="Tahoma" w:cs="Tahoma"/>
        </w:rPr>
      </w:pPr>
    </w:p>
    <w:p w:rsidR="008D560B" w:rsidRPr="00813647" w:rsidRDefault="008D560B" w:rsidP="008D560B">
      <w:pPr>
        <w:ind w:left="720"/>
        <w:jc w:val="both"/>
        <w:rPr>
          <w:rFonts w:ascii="Tahoma" w:hAnsi="Tahoma" w:cs="Tahoma"/>
        </w:rPr>
      </w:pPr>
      <w:r w:rsidRPr="00813647">
        <w:rPr>
          <w:rFonts w:ascii="Tahoma" w:hAnsi="Tahoma" w:cs="Tahoma"/>
        </w:rPr>
        <w:t>The Group’s effective tax rate in the current quarter is lower than the statutory tax rate due to utilisation of tax losses brought forward.</w:t>
      </w:r>
    </w:p>
    <w:p w:rsidR="008A7A25" w:rsidRPr="00813647" w:rsidRDefault="008A7A25" w:rsidP="008A7A25">
      <w:pPr>
        <w:jc w:val="both"/>
        <w:rPr>
          <w:rFonts w:ascii="Tahoma" w:hAnsi="Tahoma" w:cs="Tahoma"/>
        </w:rPr>
      </w:pPr>
    </w:p>
    <w:p w:rsidR="008F7003" w:rsidRPr="00813647" w:rsidRDefault="008F7003" w:rsidP="008A7A25">
      <w:pPr>
        <w:jc w:val="both"/>
        <w:rPr>
          <w:rFonts w:ascii="Tahoma" w:hAnsi="Tahoma" w:cs="Tahoma"/>
        </w:rPr>
      </w:pPr>
    </w:p>
    <w:p w:rsidR="00C945B0" w:rsidRPr="00813647" w:rsidRDefault="00C945B0">
      <w:pPr>
        <w:pStyle w:val="Heading4"/>
        <w:rPr>
          <w:rFonts w:cs="Tahoma"/>
          <w:sz w:val="20"/>
        </w:rPr>
      </w:pPr>
      <w:r w:rsidRPr="00813647">
        <w:rPr>
          <w:rFonts w:cs="Tahoma"/>
          <w:sz w:val="20"/>
        </w:rPr>
        <w:t>B</w:t>
      </w:r>
      <w:r w:rsidR="003753C9" w:rsidRPr="00813647">
        <w:rPr>
          <w:rFonts w:cs="Tahoma"/>
          <w:sz w:val="20"/>
        </w:rPr>
        <w:t>6</w:t>
      </w:r>
      <w:r w:rsidRPr="00813647">
        <w:rPr>
          <w:rFonts w:cs="Tahoma"/>
          <w:sz w:val="20"/>
        </w:rPr>
        <w:t>.</w:t>
      </w:r>
      <w:r w:rsidRPr="00813647">
        <w:rPr>
          <w:rFonts w:cs="Tahoma"/>
          <w:sz w:val="20"/>
        </w:rPr>
        <w:tab/>
        <w:t>Corporate Proposals</w:t>
      </w:r>
    </w:p>
    <w:p w:rsidR="00C945B0" w:rsidRPr="00813647" w:rsidRDefault="00C945B0">
      <w:pPr>
        <w:ind w:left="720" w:hanging="720"/>
        <w:jc w:val="both"/>
        <w:rPr>
          <w:rFonts w:ascii="Tahoma" w:hAnsi="Tahoma" w:cs="Tahoma"/>
        </w:rPr>
      </w:pPr>
    </w:p>
    <w:p w:rsidR="005B40E9" w:rsidRPr="00813647" w:rsidRDefault="008D560B" w:rsidP="008B3C3B">
      <w:pPr>
        <w:ind w:left="720"/>
        <w:jc w:val="both"/>
        <w:rPr>
          <w:rFonts w:ascii="Tahoma" w:hAnsi="Tahoma" w:cs="Tahoma"/>
        </w:rPr>
      </w:pPr>
      <w:r w:rsidRPr="00813647">
        <w:rPr>
          <w:rFonts w:ascii="Tahoma" w:hAnsi="Tahoma" w:cs="Tahoma"/>
        </w:rPr>
        <w:t>There were no corporate proposals as at the date of this announcement.</w:t>
      </w:r>
    </w:p>
    <w:p w:rsidR="00B464B4" w:rsidRPr="00813647" w:rsidRDefault="00B464B4">
      <w:pPr>
        <w:pStyle w:val="BodyTextIndent3"/>
        <w:ind w:left="0" w:firstLine="0"/>
        <w:rPr>
          <w:rFonts w:cs="Tahoma"/>
          <w:sz w:val="20"/>
        </w:rPr>
      </w:pPr>
    </w:p>
    <w:p w:rsidR="008F7003" w:rsidRPr="00813647" w:rsidRDefault="008F7003">
      <w:pPr>
        <w:pStyle w:val="BodyTextIndent3"/>
        <w:ind w:left="0" w:firstLine="0"/>
        <w:rPr>
          <w:rFonts w:cs="Tahoma"/>
          <w:sz w:val="20"/>
        </w:rPr>
      </w:pPr>
    </w:p>
    <w:p w:rsidR="00C945B0" w:rsidRPr="002D2CC9" w:rsidRDefault="00A06AA4">
      <w:pPr>
        <w:pStyle w:val="Heading4"/>
        <w:rPr>
          <w:rFonts w:cs="Tahoma"/>
          <w:sz w:val="20"/>
        </w:rPr>
      </w:pPr>
      <w:r>
        <w:rPr>
          <w:rFonts w:cs="Tahoma"/>
          <w:sz w:val="20"/>
        </w:rPr>
        <w:t>B7.</w:t>
      </w:r>
      <w:r>
        <w:rPr>
          <w:rFonts w:cs="Tahoma"/>
          <w:sz w:val="20"/>
        </w:rPr>
        <w:tab/>
      </w:r>
      <w:r w:rsidR="008371E0" w:rsidRPr="008371E0">
        <w:rPr>
          <w:rFonts w:cs="Tahoma"/>
          <w:sz w:val="20"/>
        </w:rPr>
        <w:t xml:space="preserve">Group Borrowings and Debt Securities </w:t>
      </w:r>
    </w:p>
    <w:p w:rsidR="00C945B0" w:rsidRPr="002D2CC9" w:rsidRDefault="00C945B0">
      <w:pPr>
        <w:jc w:val="both"/>
        <w:rPr>
          <w:rFonts w:ascii="Tahoma" w:hAnsi="Tahoma" w:cs="Tahoma"/>
        </w:rPr>
      </w:pPr>
    </w:p>
    <w:p w:rsidR="00C945B0" w:rsidRPr="002D2CC9" w:rsidRDefault="00A06AA4" w:rsidP="00B83EC3">
      <w:pPr>
        <w:ind w:firstLine="720"/>
        <w:jc w:val="both"/>
        <w:rPr>
          <w:rFonts w:ascii="Tahoma" w:hAnsi="Tahoma" w:cs="Tahoma"/>
        </w:rPr>
      </w:pPr>
      <w:r>
        <w:rPr>
          <w:rFonts w:ascii="Tahoma" w:hAnsi="Tahoma" w:cs="Tahoma"/>
        </w:rPr>
        <w:t>The Group borrowings as at 31 January 2016 are shown as below:-</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600"/>
        <w:gridCol w:w="1530"/>
        <w:gridCol w:w="1440"/>
        <w:gridCol w:w="1440"/>
      </w:tblGrid>
      <w:tr w:rsidR="00C945B0" w:rsidRPr="002D2CC9">
        <w:tc>
          <w:tcPr>
            <w:tcW w:w="3600" w:type="dxa"/>
          </w:tcPr>
          <w:p w:rsidR="00C945B0" w:rsidRPr="002D2CC9" w:rsidRDefault="00C945B0">
            <w:pPr>
              <w:jc w:val="both"/>
              <w:rPr>
                <w:rFonts w:ascii="Tahoma" w:hAnsi="Tahoma" w:cs="Tahoma"/>
                <w:u w:val="single"/>
              </w:rPr>
            </w:pPr>
          </w:p>
        </w:tc>
        <w:tc>
          <w:tcPr>
            <w:tcW w:w="1530" w:type="dxa"/>
          </w:tcPr>
          <w:p w:rsidR="00C945B0" w:rsidRPr="002D2CC9" w:rsidRDefault="00A06AA4">
            <w:pPr>
              <w:jc w:val="center"/>
              <w:rPr>
                <w:rFonts w:ascii="Tahoma" w:hAnsi="Tahoma" w:cs="Tahoma"/>
              </w:rPr>
            </w:pPr>
            <w:r>
              <w:rPr>
                <w:rFonts w:ascii="Tahoma" w:hAnsi="Tahoma" w:cs="Tahoma"/>
              </w:rPr>
              <w:t>Secured</w:t>
            </w:r>
          </w:p>
          <w:p w:rsidR="00C945B0" w:rsidRPr="002D2CC9" w:rsidRDefault="00A06AA4">
            <w:pPr>
              <w:jc w:val="center"/>
              <w:rPr>
                <w:rFonts w:ascii="Tahoma" w:hAnsi="Tahoma" w:cs="Tahoma"/>
              </w:rPr>
            </w:pPr>
            <w:r>
              <w:rPr>
                <w:rFonts w:ascii="Tahoma" w:hAnsi="Tahoma" w:cs="Tahoma"/>
              </w:rPr>
              <w:t>RM’000</w:t>
            </w:r>
          </w:p>
        </w:tc>
        <w:tc>
          <w:tcPr>
            <w:tcW w:w="1440" w:type="dxa"/>
          </w:tcPr>
          <w:p w:rsidR="00C945B0" w:rsidRPr="002D2CC9" w:rsidRDefault="00A06AA4">
            <w:pPr>
              <w:jc w:val="center"/>
              <w:rPr>
                <w:rFonts w:ascii="Tahoma" w:hAnsi="Tahoma" w:cs="Tahoma"/>
              </w:rPr>
            </w:pPr>
            <w:r>
              <w:rPr>
                <w:rFonts w:ascii="Tahoma" w:hAnsi="Tahoma" w:cs="Tahoma"/>
              </w:rPr>
              <w:t>Unsecured</w:t>
            </w:r>
          </w:p>
          <w:p w:rsidR="00C945B0" w:rsidRPr="002D2CC9" w:rsidRDefault="00A06AA4">
            <w:pPr>
              <w:jc w:val="center"/>
              <w:rPr>
                <w:rFonts w:ascii="Tahoma" w:hAnsi="Tahoma" w:cs="Tahoma"/>
                <w:u w:val="single"/>
              </w:rPr>
            </w:pPr>
            <w:r>
              <w:rPr>
                <w:rFonts w:ascii="Tahoma" w:hAnsi="Tahoma" w:cs="Tahoma"/>
              </w:rPr>
              <w:t>RM’000</w:t>
            </w:r>
          </w:p>
        </w:tc>
        <w:tc>
          <w:tcPr>
            <w:tcW w:w="1440" w:type="dxa"/>
          </w:tcPr>
          <w:p w:rsidR="00C945B0" w:rsidRPr="002D2CC9" w:rsidRDefault="00A06AA4">
            <w:pPr>
              <w:jc w:val="center"/>
              <w:rPr>
                <w:rFonts w:ascii="Tahoma" w:hAnsi="Tahoma" w:cs="Tahoma"/>
              </w:rPr>
            </w:pPr>
            <w:r>
              <w:rPr>
                <w:rFonts w:ascii="Tahoma" w:hAnsi="Tahoma" w:cs="Tahoma"/>
              </w:rPr>
              <w:t>Total</w:t>
            </w:r>
          </w:p>
          <w:p w:rsidR="00C945B0" w:rsidRPr="002D2CC9" w:rsidRDefault="008371E0">
            <w:pPr>
              <w:pStyle w:val="Heading2"/>
              <w:jc w:val="center"/>
              <w:rPr>
                <w:rFonts w:cs="Tahoma"/>
                <w:sz w:val="20"/>
                <w:u w:val="none"/>
              </w:rPr>
            </w:pPr>
            <w:r w:rsidRPr="008371E0">
              <w:rPr>
                <w:rFonts w:cs="Tahoma"/>
                <w:sz w:val="20"/>
                <w:u w:val="none"/>
              </w:rPr>
              <w:t>RM’000</w:t>
            </w:r>
          </w:p>
        </w:tc>
      </w:tr>
      <w:tr w:rsidR="00C945B0" w:rsidRPr="00741F40">
        <w:tc>
          <w:tcPr>
            <w:tcW w:w="3600" w:type="dxa"/>
          </w:tcPr>
          <w:p w:rsidR="00C945B0" w:rsidRPr="002D2CC9" w:rsidRDefault="00C945B0">
            <w:pPr>
              <w:keepNext/>
              <w:jc w:val="both"/>
              <w:outlineLvl w:val="0"/>
              <w:rPr>
                <w:rFonts w:ascii="Tahoma" w:hAnsi="Tahoma" w:cs="Tahoma"/>
              </w:rPr>
            </w:pPr>
          </w:p>
          <w:p w:rsidR="00C945B0" w:rsidRPr="002D2CC9" w:rsidRDefault="00A06AA4">
            <w:pPr>
              <w:jc w:val="both"/>
              <w:rPr>
                <w:rFonts w:ascii="Tahoma" w:hAnsi="Tahoma" w:cs="Tahoma"/>
              </w:rPr>
            </w:pPr>
            <w:r>
              <w:rPr>
                <w:rFonts w:ascii="Tahoma" w:hAnsi="Tahoma" w:cs="Tahoma"/>
              </w:rPr>
              <w:t>Short Term Borrowings</w:t>
            </w:r>
          </w:p>
          <w:p w:rsidR="00C945B0" w:rsidRPr="002D2CC9" w:rsidRDefault="00A06AA4">
            <w:pPr>
              <w:jc w:val="both"/>
              <w:rPr>
                <w:rFonts w:ascii="Tahoma" w:hAnsi="Tahoma" w:cs="Tahoma"/>
              </w:rPr>
            </w:pPr>
            <w:r>
              <w:rPr>
                <w:rFonts w:ascii="Tahoma" w:hAnsi="Tahoma" w:cs="Tahoma"/>
              </w:rPr>
              <w:t xml:space="preserve">Long Term Borrowings </w:t>
            </w:r>
          </w:p>
          <w:p w:rsidR="00C945B0" w:rsidRPr="002D2CC9" w:rsidRDefault="00C945B0">
            <w:pPr>
              <w:keepNext/>
              <w:jc w:val="both"/>
              <w:outlineLvl w:val="2"/>
              <w:rPr>
                <w:rFonts w:ascii="Tahoma" w:hAnsi="Tahoma" w:cs="Tahoma"/>
              </w:rPr>
            </w:pPr>
          </w:p>
        </w:tc>
        <w:tc>
          <w:tcPr>
            <w:tcW w:w="1530" w:type="dxa"/>
          </w:tcPr>
          <w:p w:rsidR="00C945B0" w:rsidRPr="002D2CC9" w:rsidRDefault="00C945B0" w:rsidP="009A3541">
            <w:pPr>
              <w:keepNext/>
              <w:tabs>
                <w:tab w:val="left" w:pos="1230"/>
              </w:tabs>
              <w:jc w:val="center"/>
              <w:outlineLvl w:val="2"/>
              <w:rPr>
                <w:rFonts w:ascii="Tahoma" w:hAnsi="Tahoma" w:cs="Tahoma"/>
              </w:rPr>
            </w:pPr>
          </w:p>
          <w:p w:rsidR="000E613C" w:rsidRPr="002D2CC9" w:rsidRDefault="008371E0" w:rsidP="00403774">
            <w:pPr>
              <w:jc w:val="right"/>
              <w:rPr>
                <w:rFonts w:ascii="Tahoma" w:hAnsi="Tahoma" w:cs="Tahoma"/>
              </w:rPr>
            </w:pPr>
            <w:r w:rsidRPr="008371E0">
              <w:rPr>
                <w:rFonts w:ascii="Tahoma" w:hAnsi="Tahoma" w:cs="Tahoma"/>
              </w:rPr>
              <w:t>15,652</w:t>
            </w:r>
          </w:p>
          <w:p w:rsidR="00C945B0" w:rsidRPr="002D2CC9" w:rsidRDefault="00A06AA4" w:rsidP="00403774">
            <w:pPr>
              <w:jc w:val="right"/>
              <w:rPr>
                <w:rFonts w:ascii="Tahoma" w:hAnsi="Tahoma" w:cs="Tahoma"/>
              </w:rPr>
            </w:pPr>
            <w:r>
              <w:rPr>
                <w:rFonts w:ascii="Tahoma" w:hAnsi="Tahoma" w:cs="Tahoma"/>
              </w:rPr>
              <w:t>7,708</w:t>
            </w:r>
          </w:p>
          <w:p w:rsidR="00C945B0" w:rsidRPr="002D2CC9" w:rsidRDefault="00A06AA4" w:rsidP="00AB6C84">
            <w:pPr>
              <w:pBdr>
                <w:top w:val="single" w:sz="6" w:space="1" w:color="auto"/>
                <w:bottom w:val="single" w:sz="6" w:space="1" w:color="auto"/>
              </w:pBdr>
              <w:jc w:val="right"/>
              <w:rPr>
                <w:rFonts w:ascii="Tahoma" w:hAnsi="Tahoma" w:cs="Tahoma"/>
              </w:rPr>
            </w:pPr>
            <w:r>
              <w:rPr>
                <w:rFonts w:ascii="Tahoma" w:hAnsi="Tahoma" w:cs="Tahoma"/>
              </w:rPr>
              <w:t xml:space="preserve"># </w:t>
            </w:r>
            <w:r w:rsidR="008371E0" w:rsidRPr="008371E0">
              <w:rPr>
                <w:rFonts w:ascii="Tahoma" w:hAnsi="Tahoma" w:cs="Tahoma"/>
              </w:rPr>
              <w:t>23,360</w:t>
            </w:r>
          </w:p>
          <w:p w:rsidR="00C945B0" w:rsidRPr="002D2CC9" w:rsidRDefault="00C945B0">
            <w:pPr>
              <w:keepNext/>
              <w:jc w:val="both"/>
              <w:outlineLvl w:val="1"/>
              <w:rPr>
                <w:rFonts w:ascii="Tahoma" w:hAnsi="Tahoma" w:cs="Tahoma"/>
              </w:rPr>
            </w:pPr>
          </w:p>
        </w:tc>
        <w:tc>
          <w:tcPr>
            <w:tcW w:w="1440" w:type="dxa"/>
          </w:tcPr>
          <w:p w:rsidR="00C945B0" w:rsidRPr="002D2CC9" w:rsidRDefault="00C945B0" w:rsidP="00B77F1F">
            <w:pPr>
              <w:keepNext/>
              <w:ind w:right="400"/>
              <w:jc w:val="right"/>
              <w:outlineLvl w:val="1"/>
              <w:rPr>
                <w:rFonts w:ascii="Tahoma" w:hAnsi="Tahoma" w:cs="Tahoma"/>
              </w:rPr>
            </w:pPr>
          </w:p>
          <w:p w:rsidR="00C945B0" w:rsidRPr="002D2CC9" w:rsidRDefault="00A06AA4">
            <w:pPr>
              <w:jc w:val="right"/>
              <w:rPr>
                <w:rFonts w:ascii="Tahoma" w:hAnsi="Tahoma" w:cs="Tahoma"/>
              </w:rPr>
            </w:pPr>
            <w:r>
              <w:rPr>
                <w:rFonts w:ascii="Tahoma" w:hAnsi="Tahoma" w:cs="Tahoma"/>
              </w:rPr>
              <w:t>-</w:t>
            </w:r>
          </w:p>
          <w:p w:rsidR="00C945B0" w:rsidRPr="002D2CC9" w:rsidRDefault="008371E0">
            <w:pPr>
              <w:jc w:val="right"/>
              <w:rPr>
                <w:rFonts w:ascii="Tahoma" w:hAnsi="Tahoma" w:cs="Tahoma"/>
              </w:rPr>
            </w:pPr>
            <w:r w:rsidRPr="008371E0">
              <w:rPr>
                <w:rFonts w:ascii="Tahoma" w:hAnsi="Tahoma" w:cs="Tahoma"/>
              </w:rPr>
              <w:t>-</w:t>
            </w:r>
          </w:p>
          <w:p w:rsidR="00C945B0" w:rsidRPr="002D2CC9" w:rsidRDefault="00A06AA4">
            <w:pPr>
              <w:pBdr>
                <w:top w:val="single" w:sz="6" w:space="1" w:color="auto"/>
                <w:bottom w:val="single" w:sz="6" w:space="1" w:color="auto"/>
              </w:pBdr>
              <w:jc w:val="right"/>
              <w:rPr>
                <w:rFonts w:ascii="Tahoma" w:hAnsi="Tahoma" w:cs="Tahoma"/>
              </w:rPr>
            </w:pPr>
            <w:r>
              <w:rPr>
                <w:rFonts w:ascii="Tahoma" w:hAnsi="Tahoma" w:cs="Tahoma"/>
              </w:rPr>
              <w:t>-</w:t>
            </w:r>
          </w:p>
          <w:p w:rsidR="00C945B0" w:rsidRPr="002D2CC9" w:rsidRDefault="00C945B0">
            <w:pPr>
              <w:keepNext/>
              <w:jc w:val="right"/>
              <w:outlineLvl w:val="1"/>
              <w:rPr>
                <w:rFonts w:ascii="Tahoma" w:hAnsi="Tahoma" w:cs="Tahoma"/>
              </w:rPr>
            </w:pPr>
          </w:p>
        </w:tc>
        <w:tc>
          <w:tcPr>
            <w:tcW w:w="1440" w:type="dxa"/>
          </w:tcPr>
          <w:p w:rsidR="00C945B0" w:rsidRPr="002D2CC9" w:rsidRDefault="00C945B0" w:rsidP="00B77F1F">
            <w:pPr>
              <w:keepNext/>
              <w:ind w:right="400"/>
              <w:jc w:val="right"/>
              <w:outlineLvl w:val="1"/>
              <w:rPr>
                <w:rFonts w:ascii="Tahoma" w:hAnsi="Tahoma" w:cs="Tahoma"/>
              </w:rPr>
            </w:pPr>
          </w:p>
          <w:p w:rsidR="008D560B" w:rsidRPr="002D2CC9" w:rsidRDefault="008371E0" w:rsidP="008D560B">
            <w:pPr>
              <w:jc w:val="right"/>
              <w:rPr>
                <w:rFonts w:ascii="Tahoma" w:hAnsi="Tahoma" w:cs="Tahoma"/>
              </w:rPr>
            </w:pPr>
            <w:r w:rsidRPr="008371E0">
              <w:rPr>
                <w:rFonts w:ascii="Tahoma" w:hAnsi="Tahoma" w:cs="Tahoma"/>
              </w:rPr>
              <w:t>15,652</w:t>
            </w:r>
          </w:p>
          <w:p w:rsidR="008D560B" w:rsidRPr="002D2CC9" w:rsidRDefault="00A06AA4" w:rsidP="008D560B">
            <w:pPr>
              <w:jc w:val="right"/>
              <w:rPr>
                <w:rFonts w:ascii="Tahoma" w:hAnsi="Tahoma" w:cs="Tahoma"/>
              </w:rPr>
            </w:pPr>
            <w:r>
              <w:rPr>
                <w:rFonts w:ascii="Tahoma" w:hAnsi="Tahoma" w:cs="Tahoma"/>
              </w:rPr>
              <w:t>7,708</w:t>
            </w:r>
          </w:p>
          <w:p w:rsidR="008D560B" w:rsidRPr="002D2CC9" w:rsidRDefault="00A06AA4" w:rsidP="008D560B">
            <w:pPr>
              <w:pBdr>
                <w:top w:val="single" w:sz="6" w:space="1" w:color="auto"/>
                <w:bottom w:val="single" w:sz="6" w:space="1" w:color="auto"/>
              </w:pBdr>
              <w:jc w:val="right"/>
              <w:rPr>
                <w:rFonts w:ascii="Tahoma" w:hAnsi="Tahoma" w:cs="Tahoma"/>
              </w:rPr>
            </w:pPr>
            <w:r>
              <w:rPr>
                <w:rFonts w:ascii="Tahoma" w:hAnsi="Tahoma" w:cs="Tahoma"/>
              </w:rPr>
              <w:t xml:space="preserve"># </w:t>
            </w:r>
            <w:r w:rsidR="008371E0" w:rsidRPr="008371E0">
              <w:rPr>
                <w:rFonts w:ascii="Tahoma" w:hAnsi="Tahoma" w:cs="Tahoma"/>
              </w:rPr>
              <w:t>23,360</w:t>
            </w:r>
          </w:p>
          <w:p w:rsidR="00C945B0" w:rsidRPr="002D2CC9" w:rsidRDefault="00C945B0">
            <w:pPr>
              <w:keepNext/>
              <w:jc w:val="right"/>
              <w:outlineLvl w:val="1"/>
              <w:rPr>
                <w:rFonts w:ascii="Tahoma" w:hAnsi="Tahoma" w:cs="Tahoma"/>
              </w:rPr>
            </w:pPr>
          </w:p>
        </w:tc>
      </w:tr>
    </w:tbl>
    <w:p w:rsidR="00EA211C" w:rsidRPr="00741F40" w:rsidRDefault="00EA211C" w:rsidP="00E7176A">
      <w:pPr>
        <w:jc w:val="both"/>
        <w:rPr>
          <w:rFonts w:ascii="Tahoma" w:hAnsi="Tahoma" w:cs="Tahoma"/>
          <w:highlight w:val="cyan"/>
        </w:rPr>
      </w:pPr>
    </w:p>
    <w:p w:rsidR="00312D0E" w:rsidRPr="00813647" w:rsidRDefault="00A06AA4" w:rsidP="007D42F3">
      <w:pPr>
        <w:ind w:firstLine="720"/>
        <w:jc w:val="both"/>
        <w:rPr>
          <w:rFonts w:ascii="Tahoma" w:hAnsi="Tahoma" w:cs="Tahoma"/>
        </w:rPr>
      </w:pPr>
      <w:r>
        <w:rPr>
          <w:rFonts w:ascii="Tahoma" w:hAnsi="Tahoma" w:cs="Tahoma"/>
        </w:rPr>
        <w:t># Out of RM</w:t>
      </w:r>
      <w:r w:rsidR="008371E0" w:rsidRPr="008371E0">
        <w:rPr>
          <w:rFonts w:ascii="Tahoma" w:hAnsi="Tahoma" w:cs="Tahoma"/>
        </w:rPr>
        <w:t>23.4</w:t>
      </w:r>
      <w:r>
        <w:rPr>
          <w:rFonts w:ascii="Tahoma" w:hAnsi="Tahoma" w:cs="Tahoma"/>
        </w:rPr>
        <w:t xml:space="preserve"> million, RM</w:t>
      </w:r>
      <w:r w:rsidR="008371E0" w:rsidRPr="008371E0">
        <w:rPr>
          <w:rFonts w:ascii="Tahoma" w:hAnsi="Tahoma" w:cs="Tahoma"/>
        </w:rPr>
        <w:t>7.1</w:t>
      </w:r>
      <w:r w:rsidR="00A24367">
        <w:rPr>
          <w:rFonts w:ascii="Tahoma" w:hAnsi="Tahoma" w:cs="Tahoma"/>
        </w:rPr>
        <w:t xml:space="preserve"> </w:t>
      </w:r>
      <w:r w:rsidR="008371E0" w:rsidRPr="008371E0">
        <w:rPr>
          <w:rFonts w:ascii="Tahoma" w:hAnsi="Tahoma" w:cs="Tahoma"/>
        </w:rPr>
        <w:t>million borrowings were denominated in USD currency.</w:t>
      </w:r>
    </w:p>
    <w:p w:rsidR="004A4606" w:rsidRPr="00813647" w:rsidRDefault="004A4606">
      <w:pPr>
        <w:pStyle w:val="BodyText3"/>
        <w:rPr>
          <w:rFonts w:cs="Tahoma"/>
          <w:b w:val="0"/>
          <w:sz w:val="20"/>
        </w:rPr>
      </w:pPr>
    </w:p>
    <w:p w:rsidR="008F7003" w:rsidRPr="00813647" w:rsidRDefault="008F7003">
      <w:pPr>
        <w:pStyle w:val="BodyText3"/>
        <w:rPr>
          <w:rFonts w:cs="Tahoma"/>
          <w:b w:val="0"/>
          <w:sz w:val="20"/>
        </w:rPr>
      </w:pPr>
    </w:p>
    <w:p w:rsidR="00E956A7" w:rsidRPr="00813647" w:rsidRDefault="00347E03" w:rsidP="0007146A">
      <w:pPr>
        <w:pStyle w:val="Heading4"/>
        <w:rPr>
          <w:rFonts w:cs="Tahoma"/>
          <w:sz w:val="20"/>
        </w:rPr>
      </w:pPr>
      <w:r w:rsidRPr="00813647">
        <w:rPr>
          <w:rFonts w:cs="Tahoma"/>
          <w:sz w:val="20"/>
        </w:rPr>
        <w:t>B8</w:t>
      </w:r>
      <w:r w:rsidR="00E956A7" w:rsidRPr="00813647">
        <w:rPr>
          <w:rFonts w:cs="Tahoma"/>
          <w:sz w:val="20"/>
        </w:rPr>
        <w:t xml:space="preserve">. </w:t>
      </w:r>
      <w:r w:rsidR="00E956A7" w:rsidRPr="00813647">
        <w:rPr>
          <w:rFonts w:cs="Tahoma"/>
          <w:sz w:val="20"/>
        </w:rPr>
        <w:tab/>
        <w:t>Material Litigation</w:t>
      </w:r>
    </w:p>
    <w:p w:rsidR="001C241E" w:rsidRPr="00813647" w:rsidRDefault="001C241E">
      <w:pPr>
        <w:pStyle w:val="BodyText3"/>
        <w:rPr>
          <w:rFonts w:cs="Tahoma"/>
          <w:sz w:val="20"/>
        </w:rPr>
      </w:pPr>
    </w:p>
    <w:p w:rsidR="00C45849" w:rsidRPr="00813647" w:rsidRDefault="00E956A7">
      <w:pPr>
        <w:pStyle w:val="BodyText3"/>
        <w:rPr>
          <w:rFonts w:cs="Tahoma"/>
          <w:b w:val="0"/>
          <w:sz w:val="20"/>
        </w:rPr>
      </w:pPr>
      <w:r w:rsidRPr="00813647">
        <w:rPr>
          <w:rFonts w:cs="Tahoma"/>
          <w:sz w:val="20"/>
        </w:rPr>
        <w:tab/>
      </w:r>
      <w:r w:rsidRPr="00813647">
        <w:rPr>
          <w:rFonts w:cs="Tahoma"/>
          <w:b w:val="0"/>
          <w:sz w:val="20"/>
        </w:rPr>
        <w:t>There were no material litigations pending as at the date of this announcement.</w:t>
      </w:r>
    </w:p>
    <w:p w:rsidR="00970D50" w:rsidRPr="00813647" w:rsidRDefault="00970D50">
      <w:pPr>
        <w:pStyle w:val="BodyText3"/>
        <w:rPr>
          <w:rFonts w:cs="Tahoma"/>
          <w:b w:val="0"/>
          <w:sz w:val="20"/>
        </w:rPr>
      </w:pPr>
    </w:p>
    <w:p w:rsidR="008F7003" w:rsidRPr="00813647" w:rsidRDefault="008F7003">
      <w:pPr>
        <w:pStyle w:val="BodyText3"/>
        <w:rPr>
          <w:rFonts w:cs="Tahoma"/>
          <w:b w:val="0"/>
          <w:sz w:val="20"/>
        </w:rPr>
      </w:pPr>
    </w:p>
    <w:p w:rsidR="000C6EF8" w:rsidRPr="00813647" w:rsidRDefault="000C6EF8" w:rsidP="0007146A">
      <w:pPr>
        <w:pStyle w:val="Heading4"/>
        <w:rPr>
          <w:rFonts w:cs="Tahoma"/>
          <w:sz w:val="20"/>
        </w:rPr>
      </w:pPr>
      <w:r w:rsidRPr="00813647">
        <w:rPr>
          <w:rFonts w:cs="Tahoma"/>
          <w:sz w:val="20"/>
        </w:rPr>
        <w:t>B</w:t>
      </w:r>
      <w:r w:rsidR="00347E03" w:rsidRPr="00813647">
        <w:rPr>
          <w:rFonts w:cs="Tahoma"/>
          <w:sz w:val="20"/>
        </w:rPr>
        <w:t>9</w:t>
      </w:r>
      <w:r w:rsidRPr="00813647">
        <w:rPr>
          <w:rFonts w:cs="Tahoma"/>
          <w:sz w:val="20"/>
        </w:rPr>
        <w:t>.</w:t>
      </w:r>
      <w:r w:rsidRPr="00813647">
        <w:rPr>
          <w:rFonts w:cs="Tahoma"/>
          <w:sz w:val="20"/>
        </w:rPr>
        <w:tab/>
        <w:t>Other Disclosures Items to the Statement of Comprehensive Income</w:t>
      </w:r>
    </w:p>
    <w:p w:rsidR="000C6EF8" w:rsidRPr="00813647" w:rsidRDefault="000C6EF8">
      <w:pPr>
        <w:pStyle w:val="BodyText3"/>
        <w:rPr>
          <w:rFonts w:cs="Tahoma"/>
          <w:sz w:val="20"/>
        </w:rPr>
      </w:pPr>
    </w:p>
    <w:p w:rsidR="000C6EF8" w:rsidRPr="00813647" w:rsidRDefault="000C6EF8">
      <w:pPr>
        <w:pStyle w:val="BodyText3"/>
        <w:rPr>
          <w:rFonts w:cs="Tahoma"/>
          <w:b w:val="0"/>
          <w:sz w:val="20"/>
        </w:rPr>
      </w:pPr>
      <w:r w:rsidRPr="00813647">
        <w:rPr>
          <w:rFonts w:cs="Tahoma"/>
          <w:sz w:val="20"/>
        </w:rPr>
        <w:tab/>
      </w:r>
      <w:r w:rsidRPr="00813647">
        <w:rPr>
          <w:rFonts w:cs="Tahoma"/>
          <w:b w:val="0"/>
          <w:sz w:val="20"/>
        </w:rPr>
        <w:t>Profit for the period is arrived at after crediting/(charging):-</w:t>
      </w:r>
      <w:r w:rsidR="00B46B8E">
        <w:rPr>
          <w:rFonts w:cs="Tahoma"/>
          <w:b w:val="0"/>
          <w:sz w:val="20"/>
        </w:rPr>
        <w:t xml:space="preserve">  </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620"/>
        <w:gridCol w:w="1620"/>
      </w:tblGrid>
      <w:tr w:rsidR="000C6EF8" w:rsidRPr="00813647" w:rsidTr="002D2CC9">
        <w:tc>
          <w:tcPr>
            <w:tcW w:w="5310" w:type="dxa"/>
          </w:tcPr>
          <w:p w:rsidR="000C6EF8" w:rsidRPr="00813647" w:rsidRDefault="000C6EF8" w:rsidP="004D08B4">
            <w:pPr>
              <w:jc w:val="both"/>
              <w:rPr>
                <w:rFonts w:ascii="Tahoma" w:hAnsi="Tahoma" w:cs="Tahoma"/>
              </w:rPr>
            </w:pPr>
          </w:p>
        </w:tc>
        <w:tc>
          <w:tcPr>
            <w:tcW w:w="1620" w:type="dxa"/>
            <w:shd w:val="clear" w:color="auto" w:fill="auto"/>
          </w:tcPr>
          <w:p w:rsidR="000C6EF8" w:rsidRPr="002D2CC9" w:rsidRDefault="000C6EF8" w:rsidP="004D08B4">
            <w:pPr>
              <w:jc w:val="right"/>
              <w:rPr>
                <w:rFonts w:ascii="Tahoma" w:hAnsi="Tahoma" w:cs="Tahoma"/>
              </w:rPr>
            </w:pPr>
          </w:p>
          <w:p w:rsidR="000C6EF8" w:rsidRPr="002D2CC9" w:rsidRDefault="00A06AA4" w:rsidP="004D08B4">
            <w:pPr>
              <w:jc w:val="right"/>
              <w:rPr>
                <w:rFonts w:ascii="Tahoma" w:hAnsi="Tahoma" w:cs="Tahoma"/>
              </w:rPr>
            </w:pPr>
            <w:r>
              <w:rPr>
                <w:rFonts w:ascii="Tahoma" w:hAnsi="Tahoma" w:cs="Tahoma"/>
              </w:rPr>
              <w:t>Current Quarter</w:t>
            </w:r>
          </w:p>
          <w:p w:rsidR="000C6EF8" w:rsidRPr="002D2CC9" w:rsidRDefault="00A06AA4" w:rsidP="004D08B4">
            <w:pPr>
              <w:jc w:val="right"/>
              <w:rPr>
                <w:rFonts w:ascii="Tahoma" w:hAnsi="Tahoma" w:cs="Tahoma"/>
              </w:rPr>
            </w:pPr>
            <w:r>
              <w:rPr>
                <w:rFonts w:ascii="Tahoma" w:hAnsi="Tahoma" w:cs="Tahoma"/>
              </w:rPr>
              <w:t>RM’000</w:t>
            </w:r>
          </w:p>
        </w:tc>
        <w:tc>
          <w:tcPr>
            <w:tcW w:w="1620" w:type="dxa"/>
            <w:shd w:val="clear" w:color="auto" w:fill="auto"/>
          </w:tcPr>
          <w:p w:rsidR="000C6EF8" w:rsidRPr="002D2CC9" w:rsidRDefault="00A06AA4" w:rsidP="004D08B4">
            <w:pPr>
              <w:jc w:val="right"/>
              <w:rPr>
                <w:rFonts w:ascii="Tahoma" w:hAnsi="Tahoma" w:cs="Tahoma"/>
              </w:rPr>
            </w:pPr>
            <w:r>
              <w:rPr>
                <w:rFonts w:ascii="Tahoma" w:hAnsi="Tahoma" w:cs="Tahoma"/>
              </w:rPr>
              <w:t xml:space="preserve">Financial </w:t>
            </w:r>
          </w:p>
          <w:p w:rsidR="000C6EF8" w:rsidRPr="002D2CC9" w:rsidRDefault="00A06AA4" w:rsidP="004D08B4">
            <w:pPr>
              <w:jc w:val="right"/>
              <w:rPr>
                <w:rFonts w:ascii="Tahoma" w:hAnsi="Tahoma" w:cs="Tahoma"/>
              </w:rPr>
            </w:pPr>
            <w:r>
              <w:rPr>
                <w:rFonts w:ascii="Tahoma" w:hAnsi="Tahoma" w:cs="Tahoma"/>
              </w:rPr>
              <w:t>year-to-date</w:t>
            </w:r>
          </w:p>
          <w:p w:rsidR="000C6EF8" w:rsidRPr="002D2CC9" w:rsidRDefault="00A06AA4" w:rsidP="004D08B4">
            <w:pPr>
              <w:jc w:val="right"/>
              <w:rPr>
                <w:rFonts w:ascii="Tahoma" w:hAnsi="Tahoma" w:cs="Tahoma"/>
              </w:rPr>
            </w:pPr>
            <w:r>
              <w:rPr>
                <w:rFonts w:ascii="Tahoma" w:hAnsi="Tahoma" w:cs="Tahoma"/>
              </w:rPr>
              <w:t>RM’000</w:t>
            </w:r>
          </w:p>
        </w:tc>
      </w:tr>
      <w:tr w:rsidR="001C4C8D" w:rsidRPr="00813647" w:rsidTr="002D2CC9">
        <w:trPr>
          <w:trHeight w:val="449"/>
        </w:trPr>
        <w:tc>
          <w:tcPr>
            <w:tcW w:w="5310" w:type="dxa"/>
          </w:tcPr>
          <w:p w:rsidR="001C4C8D" w:rsidRPr="00813647" w:rsidRDefault="001C4C8D" w:rsidP="004718D3">
            <w:pPr>
              <w:tabs>
                <w:tab w:val="left" w:pos="177"/>
              </w:tabs>
              <w:jc w:val="both"/>
              <w:rPr>
                <w:rFonts w:ascii="Tahoma" w:hAnsi="Tahoma" w:cs="Tahoma"/>
              </w:rPr>
            </w:pPr>
            <w:r w:rsidRPr="00813647">
              <w:rPr>
                <w:rFonts w:ascii="Tahoma" w:hAnsi="Tahoma" w:cs="Tahoma"/>
              </w:rPr>
              <w:t>- Interest income</w:t>
            </w:r>
          </w:p>
          <w:p w:rsidR="001C4C8D" w:rsidRPr="00813647" w:rsidRDefault="001C4C8D" w:rsidP="004718D3">
            <w:pPr>
              <w:tabs>
                <w:tab w:val="left" w:pos="177"/>
              </w:tabs>
              <w:jc w:val="both"/>
              <w:rPr>
                <w:rFonts w:ascii="Tahoma" w:hAnsi="Tahoma" w:cs="Tahoma"/>
              </w:rPr>
            </w:pPr>
            <w:r w:rsidRPr="00813647">
              <w:rPr>
                <w:rFonts w:ascii="Tahoma" w:hAnsi="Tahoma" w:cs="Tahoma"/>
              </w:rPr>
              <w:t>- Other income including investment income</w:t>
            </w:r>
          </w:p>
          <w:p w:rsidR="001C4C8D" w:rsidRPr="00813647" w:rsidRDefault="001C4C8D" w:rsidP="004718D3">
            <w:pPr>
              <w:tabs>
                <w:tab w:val="left" w:pos="177"/>
              </w:tabs>
              <w:jc w:val="both"/>
              <w:rPr>
                <w:rFonts w:ascii="Tahoma" w:hAnsi="Tahoma" w:cs="Tahoma"/>
              </w:rPr>
            </w:pPr>
            <w:r w:rsidRPr="00813647">
              <w:rPr>
                <w:rFonts w:ascii="Tahoma" w:hAnsi="Tahoma" w:cs="Tahoma"/>
              </w:rPr>
              <w:t>- Interest expense</w:t>
            </w:r>
          </w:p>
          <w:p w:rsidR="005B168B" w:rsidRPr="00813647" w:rsidRDefault="005B168B" w:rsidP="004718D3">
            <w:pPr>
              <w:tabs>
                <w:tab w:val="left" w:pos="177"/>
              </w:tabs>
              <w:jc w:val="both"/>
              <w:rPr>
                <w:rFonts w:ascii="Tahoma" w:hAnsi="Tahoma" w:cs="Tahoma"/>
              </w:rPr>
            </w:pPr>
            <w:r w:rsidRPr="00813647">
              <w:rPr>
                <w:rFonts w:ascii="Tahoma" w:hAnsi="Tahoma" w:cs="Tahoma"/>
              </w:rPr>
              <w:t>- D</w:t>
            </w:r>
            <w:r w:rsidR="00D43D9C" w:rsidRPr="00813647">
              <w:rPr>
                <w:rFonts w:ascii="Tahoma" w:hAnsi="Tahoma" w:cs="Tahoma"/>
              </w:rPr>
              <w:t>epreciation on property, plant and equipment</w:t>
            </w:r>
            <w:r w:rsidRPr="00813647">
              <w:rPr>
                <w:rFonts w:ascii="Tahoma" w:hAnsi="Tahoma" w:cs="Tahoma"/>
              </w:rPr>
              <w:t xml:space="preserve"> and</w:t>
            </w:r>
          </w:p>
          <w:p w:rsidR="001C4C8D" w:rsidRPr="00813647" w:rsidRDefault="005B168B" w:rsidP="004718D3">
            <w:pPr>
              <w:tabs>
                <w:tab w:val="left" w:pos="177"/>
              </w:tabs>
              <w:jc w:val="both"/>
              <w:rPr>
                <w:rFonts w:ascii="Tahoma" w:hAnsi="Tahoma" w:cs="Tahoma"/>
              </w:rPr>
            </w:pPr>
            <w:r w:rsidRPr="00813647">
              <w:rPr>
                <w:rFonts w:ascii="Tahoma" w:hAnsi="Tahoma" w:cs="Tahoma"/>
              </w:rPr>
              <w:t xml:space="preserve">   investment properties</w:t>
            </w:r>
          </w:p>
          <w:p w:rsidR="001C4C8D" w:rsidRPr="00813647" w:rsidRDefault="0040400D" w:rsidP="004718D3">
            <w:pPr>
              <w:tabs>
                <w:tab w:val="left" w:pos="177"/>
              </w:tabs>
              <w:jc w:val="both"/>
              <w:rPr>
                <w:rFonts w:ascii="Tahoma" w:hAnsi="Tahoma" w:cs="Tahoma"/>
              </w:rPr>
            </w:pPr>
            <w:r w:rsidRPr="00813647">
              <w:rPr>
                <w:rFonts w:ascii="Tahoma" w:hAnsi="Tahoma" w:cs="Tahoma"/>
              </w:rPr>
              <w:t>- Loss</w:t>
            </w:r>
            <w:r w:rsidR="00773EDD" w:rsidRPr="00813647">
              <w:rPr>
                <w:rFonts w:ascii="Tahoma" w:hAnsi="Tahoma" w:cs="Tahoma"/>
              </w:rPr>
              <w:t xml:space="preserve"> on</w:t>
            </w:r>
            <w:r w:rsidR="001C4C8D" w:rsidRPr="00813647">
              <w:rPr>
                <w:rFonts w:ascii="Tahoma" w:hAnsi="Tahoma" w:cs="Tahoma"/>
              </w:rPr>
              <w:t xml:space="preserve"> disposal </w:t>
            </w:r>
            <w:r w:rsidRPr="00813647">
              <w:rPr>
                <w:rFonts w:ascii="Tahoma" w:hAnsi="Tahoma" w:cs="Tahoma"/>
              </w:rPr>
              <w:t>on property, plant and equipment</w:t>
            </w:r>
            <w:r w:rsidR="001C4C8D" w:rsidRPr="00813647">
              <w:rPr>
                <w:rFonts w:ascii="Tahoma" w:hAnsi="Tahoma" w:cs="Tahoma"/>
              </w:rPr>
              <w:t xml:space="preserve"> </w:t>
            </w:r>
          </w:p>
          <w:p w:rsidR="001C4C8D" w:rsidRPr="00813647" w:rsidRDefault="00BF756F" w:rsidP="004718D3">
            <w:pPr>
              <w:tabs>
                <w:tab w:val="left" w:pos="177"/>
              </w:tabs>
              <w:jc w:val="both"/>
              <w:rPr>
                <w:rFonts w:ascii="Tahoma" w:hAnsi="Tahoma" w:cs="Tahoma"/>
              </w:rPr>
            </w:pPr>
            <w:r w:rsidRPr="00813647">
              <w:rPr>
                <w:rFonts w:ascii="Tahoma" w:hAnsi="Tahoma" w:cs="Tahoma"/>
              </w:rPr>
              <w:t>- Foreign exchange gain</w:t>
            </w:r>
          </w:p>
          <w:p w:rsidR="00F35D9A" w:rsidRPr="00813647" w:rsidRDefault="00773EDD" w:rsidP="00FE3D71">
            <w:pPr>
              <w:tabs>
                <w:tab w:val="left" w:pos="177"/>
              </w:tabs>
              <w:jc w:val="both"/>
              <w:rPr>
                <w:rFonts w:ascii="Tahoma" w:hAnsi="Tahoma" w:cs="Tahoma"/>
              </w:rPr>
            </w:pPr>
            <w:r w:rsidRPr="00813647">
              <w:rPr>
                <w:rFonts w:ascii="Tahoma" w:hAnsi="Tahoma" w:cs="Tahoma"/>
              </w:rPr>
              <w:t xml:space="preserve">- </w:t>
            </w:r>
            <w:r w:rsidR="00BF756F" w:rsidRPr="00813647">
              <w:rPr>
                <w:rFonts w:ascii="Tahoma" w:hAnsi="Tahoma" w:cs="Tahoma"/>
              </w:rPr>
              <w:t>Loss</w:t>
            </w:r>
            <w:r w:rsidR="001C4C8D" w:rsidRPr="00813647">
              <w:rPr>
                <w:rFonts w:ascii="Tahoma" w:hAnsi="Tahoma" w:cs="Tahoma"/>
              </w:rPr>
              <w:t xml:space="preserve"> on derivatives</w:t>
            </w:r>
          </w:p>
          <w:p w:rsidR="00DC5E6C" w:rsidRPr="00813647" w:rsidRDefault="00120E3E" w:rsidP="0040400D">
            <w:pPr>
              <w:tabs>
                <w:tab w:val="left" w:pos="177"/>
              </w:tabs>
              <w:jc w:val="both"/>
              <w:rPr>
                <w:rFonts w:ascii="Tahoma" w:hAnsi="Tahoma" w:cs="Tahoma"/>
              </w:rPr>
            </w:pPr>
            <w:r w:rsidRPr="00813647">
              <w:rPr>
                <w:rFonts w:ascii="Tahoma" w:hAnsi="Tahoma" w:cs="Tahoma"/>
              </w:rPr>
              <w:t xml:space="preserve">- </w:t>
            </w:r>
            <w:r w:rsidR="0040400D" w:rsidRPr="00813647">
              <w:rPr>
                <w:rFonts w:ascii="Tahoma" w:hAnsi="Tahoma" w:cs="Tahoma"/>
              </w:rPr>
              <w:t xml:space="preserve">Reversal of </w:t>
            </w:r>
            <w:r w:rsidR="00367AD4" w:rsidRPr="00813647">
              <w:rPr>
                <w:rFonts w:ascii="Tahoma" w:hAnsi="Tahoma" w:cs="Tahoma"/>
              </w:rPr>
              <w:t xml:space="preserve">write </w:t>
            </w:r>
            <w:r w:rsidR="0040400D" w:rsidRPr="00813647">
              <w:rPr>
                <w:rFonts w:ascii="Tahoma" w:hAnsi="Tahoma" w:cs="Tahoma"/>
              </w:rPr>
              <w:t xml:space="preserve">down </w:t>
            </w:r>
            <w:r w:rsidRPr="00813647">
              <w:rPr>
                <w:rFonts w:ascii="Tahoma" w:hAnsi="Tahoma" w:cs="Tahoma"/>
              </w:rPr>
              <w:t xml:space="preserve">of </w:t>
            </w:r>
            <w:r w:rsidR="00DC5E6C" w:rsidRPr="00813647">
              <w:rPr>
                <w:rFonts w:ascii="Tahoma" w:hAnsi="Tahoma" w:cs="Tahoma"/>
              </w:rPr>
              <w:t>inventories</w:t>
            </w:r>
          </w:p>
        </w:tc>
        <w:tc>
          <w:tcPr>
            <w:tcW w:w="1620" w:type="dxa"/>
            <w:shd w:val="clear" w:color="auto" w:fill="auto"/>
          </w:tcPr>
          <w:p w:rsidR="001C4C8D" w:rsidRPr="002D2CC9" w:rsidRDefault="00A06AA4" w:rsidP="000C6EF8">
            <w:pPr>
              <w:jc w:val="right"/>
              <w:rPr>
                <w:rFonts w:ascii="Tahoma" w:hAnsi="Tahoma" w:cs="Tahoma"/>
              </w:rPr>
            </w:pPr>
            <w:r>
              <w:rPr>
                <w:rFonts w:ascii="Tahoma" w:hAnsi="Tahoma" w:cs="Tahoma"/>
              </w:rPr>
              <w:t>18</w:t>
            </w:r>
            <w:r w:rsidR="008D1956">
              <w:rPr>
                <w:rFonts w:ascii="Tahoma" w:hAnsi="Tahoma" w:cs="Tahoma"/>
              </w:rPr>
              <w:t>6</w:t>
            </w:r>
          </w:p>
          <w:p w:rsidR="001C4C8D" w:rsidRPr="002D2CC9" w:rsidRDefault="00A06AA4" w:rsidP="000C6EF8">
            <w:pPr>
              <w:jc w:val="right"/>
              <w:rPr>
                <w:rFonts w:ascii="Tahoma" w:hAnsi="Tahoma" w:cs="Tahoma"/>
              </w:rPr>
            </w:pPr>
            <w:r>
              <w:rPr>
                <w:rFonts w:ascii="Tahoma" w:hAnsi="Tahoma" w:cs="Tahoma"/>
              </w:rPr>
              <w:t>1,441</w:t>
            </w:r>
          </w:p>
          <w:p w:rsidR="001C4C8D" w:rsidRPr="002D2CC9" w:rsidRDefault="00A06AA4" w:rsidP="000C6EF8">
            <w:pPr>
              <w:jc w:val="right"/>
              <w:rPr>
                <w:rFonts w:ascii="Tahoma" w:hAnsi="Tahoma" w:cs="Tahoma"/>
              </w:rPr>
            </w:pPr>
            <w:r>
              <w:rPr>
                <w:rFonts w:ascii="Tahoma" w:hAnsi="Tahoma" w:cs="Tahoma"/>
              </w:rPr>
              <w:t>(504)</w:t>
            </w:r>
          </w:p>
          <w:p w:rsidR="005B168B" w:rsidRPr="002D2CC9" w:rsidRDefault="005B168B" w:rsidP="000C6EF8">
            <w:pPr>
              <w:jc w:val="right"/>
              <w:rPr>
                <w:rFonts w:ascii="Tahoma" w:hAnsi="Tahoma" w:cs="Tahoma"/>
              </w:rPr>
            </w:pPr>
          </w:p>
          <w:p w:rsidR="001C4C8D" w:rsidRPr="002D2CC9" w:rsidRDefault="00A06AA4" w:rsidP="000C6EF8">
            <w:pPr>
              <w:jc w:val="right"/>
              <w:rPr>
                <w:rFonts w:ascii="Tahoma" w:hAnsi="Tahoma" w:cs="Tahoma"/>
              </w:rPr>
            </w:pPr>
            <w:r>
              <w:rPr>
                <w:rFonts w:ascii="Tahoma" w:hAnsi="Tahoma" w:cs="Tahoma"/>
              </w:rPr>
              <w:t>(1,9</w:t>
            </w:r>
            <w:r w:rsidR="00BE4E1F">
              <w:rPr>
                <w:rFonts w:ascii="Tahoma" w:hAnsi="Tahoma" w:cs="Tahoma"/>
              </w:rPr>
              <w:t>63</w:t>
            </w:r>
            <w:r>
              <w:rPr>
                <w:rFonts w:ascii="Tahoma" w:hAnsi="Tahoma" w:cs="Tahoma"/>
              </w:rPr>
              <w:t>)</w:t>
            </w:r>
          </w:p>
          <w:p w:rsidR="001C4C8D" w:rsidRPr="002D2CC9" w:rsidRDefault="00A06AA4" w:rsidP="000C6EF8">
            <w:pPr>
              <w:jc w:val="right"/>
              <w:rPr>
                <w:rFonts w:ascii="Tahoma" w:hAnsi="Tahoma" w:cs="Tahoma"/>
              </w:rPr>
            </w:pPr>
            <w:r>
              <w:rPr>
                <w:rFonts w:ascii="Tahoma" w:hAnsi="Tahoma" w:cs="Tahoma"/>
              </w:rPr>
              <w:t>34</w:t>
            </w:r>
          </w:p>
          <w:p w:rsidR="001C4C8D" w:rsidRPr="002D2CC9" w:rsidRDefault="00A06AA4" w:rsidP="000C6EF8">
            <w:pPr>
              <w:jc w:val="right"/>
              <w:rPr>
                <w:rFonts w:ascii="Tahoma" w:hAnsi="Tahoma" w:cs="Tahoma"/>
              </w:rPr>
            </w:pPr>
            <w:r>
              <w:rPr>
                <w:rFonts w:ascii="Tahoma" w:hAnsi="Tahoma" w:cs="Tahoma"/>
              </w:rPr>
              <w:t>(474)</w:t>
            </w:r>
          </w:p>
          <w:p w:rsidR="00F35D9A" w:rsidRPr="002D2CC9" w:rsidRDefault="00A06AA4" w:rsidP="0040400D">
            <w:pPr>
              <w:jc w:val="right"/>
              <w:rPr>
                <w:rFonts w:ascii="Tahoma" w:hAnsi="Tahoma" w:cs="Tahoma"/>
              </w:rPr>
            </w:pPr>
            <w:r>
              <w:rPr>
                <w:rFonts w:ascii="Tahoma" w:hAnsi="Tahoma" w:cs="Tahoma"/>
              </w:rPr>
              <w:t>784</w:t>
            </w:r>
          </w:p>
          <w:p w:rsidR="009A3541" w:rsidRPr="002D2CC9" w:rsidRDefault="00A06AA4" w:rsidP="004E3842">
            <w:pPr>
              <w:jc w:val="right"/>
              <w:rPr>
                <w:rFonts w:ascii="Tahoma" w:hAnsi="Tahoma" w:cs="Tahoma"/>
              </w:rPr>
            </w:pPr>
            <w:r>
              <w:rPr>
                <w:rFonts w:ascii="Tahoma" w:hAnsi="Tahoma" w:cs="Tahoma"/>
              </w:rPr>
              <w:t xml:space="preserve">- </w:t>
            </w:r>
          </w:p>
        </w:tc>
        <w:tc>
          <w:tcPr>
            <w:tcW w:w="1620" w:type="dxa"/>
            <w:shd w:val="clear" w:color="auto" w:fill="auto"/>
          </w:tcPr>
          <w:p w:rsidR="00E7182D" w:rsidRPr="002D2CC9" w:rsidRDefault="008371E0" w:rsidP="00E7182D">
            <w:pPr>
              <w:ind w:left="720" w:hanging="720"/>
              <w:jc w:val="right"/>
              <w:rPr>
                <w:rFonts w:ascii="Tahoma" w:hAnsi="Tahoma" w:cs="Tahoma"/>
              </w:rPr>
            </w:pPr>
            <w:r w:rsidRPr="008371E0">
              <w:rPr>
                <w:rFonts w:ascii="Tahoma" w:hAnsi="Tahoma" w:cs="Tahoma"/>
              </w:rPr>
              <w:t>29</w:t>
            </w:r>
            <w:r w:rsidR="008D1956">
              <w:rPr>
                <w:rFonts w:ascii="Tahoma" w:hAnsi="Tahoma" w:cs="Tahoma"/>
              </w:rPr>
              <w:t>7</w:t>
            </w:r>
          </w:p>
          <w:p w:rsidR="00E7182D" w:rsidRPr="002D2CC9" w:rsidRDefault="008371E0" w:rsidP="00E7182D">
            <w:pPr>
              <w:ind w:left="720" w:hanging="720"/>
              <w:jc w:val="right"/>
              <w:rPr>
                <w:rFonts w:ascii="Tahoma" w:hAnsi="Tahoma" w:cs="Tahoma"/>
              </w:rPr>
            </w:pPr>
            <w:r w:rsidRPr="008371E0">
              <w:rPr>
                <w:rFonts w:ascii="Tahoma" w:hAnsi="Tahoma" w:cs="Tahoma"/>
              </w:rPr>
              <w:t>2,200</w:t>
            </w:r>
          </w:p>
          <w:p w:rsidR="00E7182D" w:rsidRPr="002D2CC9" w:rsidRDefault="00A06AA4" w:rsidP="00E7182D">
            <w:pPr>
              <w:jc w:val="right"/>
              <w:rPr>
                <w:rFonts w:ascii="Tahoma" w:hAnsi="Tahoma" w:cs="Tahoma"/>
              </w:rPr>
            </w:pPr>
            <w:r>
              <w:rPr>
                <w:rFonts w:ascii="Tahoma" w:hAnsi="Tahoma" w:cs="Tahoma"/>
              </w:rPr>
              <w:t>(</w:t>
            </w:r>
            <w:r w:rsidR="008371E0" w:rsidRPr="008371E0">
              <w:rPr>
                <w:rFonts w:ascii="Tahoma" w:hAnsi="Tahoma" w:cs="Tahoma"/>
              </w:rPr>
              <w:t>1,000</w:t>
            </w:r>
            <w:r>
              <w:rPr>
                <w:rFonts w:ascii="Tahoma" w:hAnsi="Tahoma" w:cs="Tahoma"/>
              </w:rPr>
              <w:t>)</w:t>
            </w:r>
          </w:p>
          <w:p w:rsidR="00E7182D" w:rsidRPr="002D2CC9" w:rsidRDefault="00E7182D" w:rsidP="00E7182D">
            <w:pPr>
              <w:keepNext/>
              <w:jc w:val="right"/>
              <w:outlineLvl w:val="1"/>
              <w:rPr>
                <w:rFonts w:ascii="Tahoma" w:hAnsi="Tahoma" w:cs="Tahoma"/>
              </w:rPr>
            </w:pPr>
          </w:p>
          <w:p w:rsidR="00E7182D" w:rsidRPr="002D2CC9" w:rsidRDefault="00A06AA4" w:rsidP="00E7182D">
            <w:pPr>
              <w:jc w:val="right"/>
              <w:rPr>
                <w:rFonts w:ascii="Tahoma" w:hAnsi="Tahoma" w:cs="Tahoma"/>
              </w:rPr>
            </w:pPr>
            <w:r>
              <w:rPr>
                <w:rFonts w:ascii="Tahoma" w:hAnsi="Tahoma" w:cs="Tahoma"/>
              </w:rPr>
              <w:t>(</w:t>
            </w:r>
            <w:r w:rsidR="008371E0" w:rsidRPr="008371E0">
              <w:rPr>
                <w:rFonts w:ascii="Tahoma" w:hAnsi="Tahoma" w:cs="Tahoma"/>
              </w:rPr>
              <w:t>3,9</w:t>
            </w:r>
            <w:r w:rsidR="00CB2BBB">
              <w:rPr>
                <w:rFonts w:ascii="Tahoma" w:hAnsi="Tahoma" w:cs="Tahoma"/>
              </w:rPr>
              <w:t>24</w:t>
            </w:r>
            <w:r>
              <w:rPr>
                <w:rFonts w:ascii="Tahoma" w:hAnsi="Tahoma" w:cs="Tahoma"/>
              </w:rPr>
              <w:t>)</w:t>
            </w:r>
          </w:p>
          <w:p w:rsidR="00E7182D" w:rsidRPr="002D2CC9" w:rsidRDefault="008371E0" w:rsidP="00E7182D">
            <w:pPr>
              <w:jc w:val="right"/>
              <w:rPr>
                <w:rFonts w:ascii="Tahoma" w:hAnsi="Tahoma" w:cs="Tahoma"/>
              </w:rPr>
            </w:pPr>
            <w:r w:rsidRPr="008371E0">
              <w:rPr>
                <w:rFonts w:ascii="Tahoma" w:hAnsi="Tahoma" w:cs="Tahoma"/>
              </w:rPr>
              <w:t>33</w:t>
            </w:r>
          </w:p>
          <w:p w:rsidR="00E7182D" w:rsidRPr="002D2CC9" w:rsidRDefault="005172A0" w:rsidP="00E7182D">
            <w:pPr>
              <w:jc w:val="right"/>
              <w:rPr>
                <w:rFonts w:ascii="Tahoma" w:hAnsi="Tahoma" w:cs="Tahoma"/>
              </w:rPr>
            </w:pPr>
            <w:r w:rsidRPr="008371E0">
              <w:rPr>
                <w:rFonts w:ascii="Tahoma" w:hAnsi="Tahoma" w:cs="Tahoma"/>
              </w:rPr>
              <w:t>8</w:t>
            </w:r>
            <w:r>
              <w:rPr>
                <w:rFonts w:ascii="Tahoma" w:hAnsi="Tahoma" w:cs="Tahoma"/>
              </w:rPr>
              <w:t>61</w:t>
            </w:r>
          </w:p>
          <w:p w:rsidR="00E7182D" w:rsidRPr="002D2CC9" w:rsidRDefault="00A06AA4" w:rsidP="00E7182D">
            <w:pPr>
              <w:jc w:val="right"/>
              <w:rPr>
                <w:rFonts w:ascii="Tahoma" w:hAnsi="Tahoma" w:cs="Tahoma"/>
              </w:rPr>
            </w:pPr>
            <w:r>
              <w:rPr>
                <w:rFonts w:ascii="Tahoma" w:hAnsi="Tahoma" w:cs="Tahoma"/>
              </w:rPr>
              <w:t>(</w:t>
            </w:r>
            <w:r w:rsidR="008371E0" w:rsidRPr="008371E0">
              <w:rPr>
                <w:rFonts w:ascii="Tahoma" w:hAnsi="Tahoma" w:cs="Tahoma"/>
              </w:rPr>
              <w:t>1,989</w:t>
            </w:r>
            <w:r>
              <w:rPr>
                <w:rFonts w:ascii="Tahoma" w:hAnsi="Tahoma" w:cs="Tahoma"/>
              </w:rPr>
              <w:t>)</w:t>
            </w:r>
          </w:p>
          <w:p w:rsidR="00DC5E6C" w:rsidRPr="002D2CC9" w:rsidRDefault="00A06AA4" w:rsidP="00E7182D">
            <w:pPr>
              <w:jc w:val="right"/>
              <w:rPr>
                <w:rFonts w:ascii="Tahoma" w:hAnsi="Tahoma" w:cs="Tahoma"/>
              </w:rPr>
            </w:pPr>
            <w:r>
              <w:rPr>
                <w:rFonts w:ascii="Tahoma" w:hAnsi="Tahoma" w:cs="Tahoma"/>
              </w:rPr>
              <w:t>662</w:t>
            </w:r>
          </w:p>
        </w:tc>
      </w:tr>
    </w:tbl>
    <w:p w:rsidR="00666798" w:rsidRPr="00813647" w:rsidRDefault="00666798" w:rsidP="000552CC">
      <w:pPr>
        <w:pStyle w:val="BodyText3"/>
        <w:rPr>
          <w:rFonts w:cs="Tahoma"/>
          <w:b w:val="0"/>
          <w:sz w:val="20"/>
        </w:rPr>
      </w:pPr>
    </w:p>
    <w:p w:rsidR="00367AD4" w:rsidRPr="00813647" w:rsidRDefault="00367AD4" w:rsidP="000552CC">
      <w:pPr>
        <w:pStyle w:val="BodyText3"/>
        <w:rPr>
          <w:rFonts w:cs="Tahoma"/>
          <w:b w:val="0"/>
          <w:sz w:val="20"/>
        </w:rPr>
      </w:pPr>
    </w:p>
    <w:p w:rsidR="004E3842" w:rsidRPr="00813647" w:rsidRDefault="004E3842" w:rsidP="004E3842">
      <w:pPr>
        <w:pStyle w:val="Heading4"/>
        <w:rPr>
          <w:rFonts w:cs="Tahoma"/>
          <w:sz w:val="20"/>
        </w:rPr>
      </w:pPr>
      <w:r w:rsidRPr="00813647">
        <w:rPr>
          <w:rFonts w:cs="Tahoma"/>
          <w:sz w:val="20"/>
        </w:rPr>
        <w:t>B9.</w:t>
      </w:r>
      <w:r w:rsidRPr="00813647">
        <w:rPr>
          <w:rFonts w:cs="Tahoma"/>
          <w:sz w:val="20"/>
        </w:rPr>
        <w:tab/>
        <w:t>Other Disclosures Items to the Statement of Comprehensive Income (continued)</w:t>
      </w:r>
    </w:p>
    <w:p w:rsidR="004E3842" w:rsidRPr="00813647" w:rsidRDefault="004E3842" w:rsidP="000552CC">
      <w:pPr>
        <w:pStyle w:val="BodyText3"/>
        <w:rPr>
          <w:rFonts w:cs="Tahoma"/>
          <w:b w:val="0"/>
          <w:sz w:val="20"/>
        </w:rPr>
      </w:pPr>
    </w:p>
    <w:p w:rsidR="0047503B" w:rsidRPr="00813647" w:rsidRDefault="0047503B" w:rsidP="00B72ADC">
      <w:pPr>
        <w:pStyle w:val="BodyText3"/>
        <w:ind w:left="709"/>
        <w:rPr>
          <w:rFonts w:cs="Tahoma"/>
          <w:b w:val="0"/>
          <w:sz w:val="20"/>
        </w:rPr>
      </w:pPr>
      <w:r w:rsidRPr="00813647">
        <w:rPr>
          <w:rFonts w:cs="Tahoma"/>
          <w:b w:val="0"/>
          <w:sz w:val="20"/>
        </w:rPr>
        <w:tab/>
        <w:t>Save as disclosed above, the following items are not applicable to the Group for th</w:t>
      </w:r>
      <w:r w:rsidR="003753C9" w:rsidRPr="00813647">
        <w:rPr>
          <w:rFonts w:cs="Tahoma"/>
          <w:b w:val="0"/>
          <w:sz w:val="20"/>
        </w:rPr>
        <w:t xml:space="preserve">e </w:t>
      </w:r>
      <w:r w:rsidR="00EF266E" w:rsidRPr="00813647">
        <w:rPr>
          <w:rFonts w:cs="Tahoma"/>
          <w:b w:val="0"/>
          <w:sz w:val="20"/>
        </w:rPr>
        <w:t>f</w:t>
      </w:r>
      <w:r w:rsidR="00E7182D" w:rsidRPr="00813647">
        <w:rPr>
          <w:rFonts w:cs="Tahoma"/>
          <w:b w:val="0"/>
          <w:sz w:val="20"/>
        </w:rPr>
        <w:t>irst</w:t>
      </w:r>
      <w:r w:rsidR="003753C9" w:rsidRPr="00813647">
        <w:rPr>
          <w:rFonts w:cs="Tahoma"/>
          <w:b w:val="0"/>
          <w:sz w:val="20"/>
        </w:rPr>
        <w:t xml:space="preserve"> financial quarter ended 3</w:t>
      </w:r>
      <w:r w:rsidR="00EF266E" w:rsidRPr="00813647">
        <w:rPr>
          <w:rFonts w:cs="Tahoma"/>
          <w:b w:val="0"/>
          <w:sz w:val="20"/>
        </w:rPr>
        <w:t>1</w:t>
      </w:r>
      <w:r w:rsidR="004E3842" w:rsidRPr="00813647">
        <w:rPr>
          <w:rFonts w:cs="Tahoma"/>
          <w:b w:val="0"/>
          <w:sz w:val="20"/>
        </w:rPr>
        <w:t xml:space="preserve"> </w:t>
      </w:r>
      <w:r w:rsidR="00DA7FE8">
        <w:rPr>
          <w:rFonts w:cs="Tahoma"/>
          <w:b w:val="0"/>
          <w:sz w:val="20"/>
        </w:rPr>
        <w:t>January</w:t>
      </w:r>
      <w:r w:rsidR="00DC5E6C" w:rsidRPr="00813647">
        <w:rPr>
          <w:rFonts w:cs="Tahoma"/>
          <w:b w:val="0"/>
          <w:sz w:val="20"/>
        </w:rPr>
        <w:t xml:space="preserve"> 201</w:t>
      </w:r>
      <w:r w:rsidR="00DA7FE8">
        <w:rPr>
          <w:rFonts w:cs="Tahoma"/>
          <w:b w:val="0"/>
          <w:sz w:val="20"/>
        </w:rPr>
        <w:t>6</w:t>
      </w:r>
      <w:r w:rsidRPr="00813647">
        <w:rPr>
          <w:rFonts w:cs="Tahoma"/>
          <w:b w:val="0"/>
          <w:sz w:val="20"/>
        </w:rPr>
        <w:t>:-</w:t>
      </w:r>
    </w:p>
    <w:p w:rsidR="0040400D" w:rsidRPr="00813647" w:rsidRDefault="0040400D" w:rsidP="0040400D">
      <w:pPr>
        <w:pStyle w:val="BodyText3"/>
        <w:numPr>
          <w:ilvl w:val="0"/>
          <w:numId w:val="7"/>
        </w:numPr>
        <w:tabs>
          <w:tab w:val="clear" w:pos="1129"/>
        </w:tabs>
        <w:ind w:left="1170" w:hanging="450"/>
        <w:rPr>
          <w:rFonts w:cs="Tahoma"/>
          <w:b w:val="0"/>
          <w:sz w:val="20"/>
        </w:rPr>
      </w:pPr>
      <w:r w:rsidRPr="00813647">
        <w:rPr>
          <w:rFonts w:cs="Tahoma"/>
          <w:b w:val="0"/>
          <w:sz w:val="20"/>
        </w:rPr>
        <w:t>provision for and write off of receivables</w:t>
      </w:r>
    </w:p>
    <w:p w:rsidR="0040400D" w:rsidRPr="00813647" w:rsidRDefault="0040400D" w:rsidP="0040400D">
      <w:pPr>
        <w:pStyle w:val="BodyText3"/>
        <w:numPr>
          <w:ilvl w:val="0"/>
          <w:numId w:val="7"/>
        </w:numPr>
        <w:tabs>
          <w:tab w:val="clear" w:pos="1129"/>
        </w:tabs>
        <w:ind w:left="1170" w:hanging="450"/>
        <w:rPr>
          <w:rFonts w:cs="Tahoma"/>
          <w:b w:val="0"/>
          <w:sz w:val="20"/>
        </w:rPr>
      </w:pPr>
      <w:r w:rsidRPr="00813647">
        <w:rPr>
          <w:rFonts w:cs="Tahoma"/>
          <w:b w:val="0"/>
          <w:sz w:val="20"/>
        </w:rPr>
        <w:t>impairment of assets</w:t>
      </w:r>
    </w:p>
    <w:p w:rsidR="00BF756F" w:rsidRPr="00813647" w:rsidRDefault="003753C9" w:rsidP="0040400D">
      <w:pPr>
        <w:pStyle w:val="BodyText3"/>
        <w:numPr>
          <w:ilvl w:val="0"/>
          <w:numId w:val="7"/>
        </w:numPr>
        <w:tabs>
          <w:tab w:val="clear" w:pos="1129"/>
        </w:tabs>
        <w:ind w:left="1170" w:hanging="450"/>
        <w:rPr>
          <w:rFonts w:cs="Tahoma"/>
          <w:b w:val="0"/>
          <w:sz w:val="20"/>
        </w:rPr>
      </w:pPr>
      <w:r w:rsidRPr="00813647">
        <w:rPr>
          <w:rFonts w:cs="Tahoma"/>
          <w:b w:val="0"/>
          <w:sz w:val="20"/>
        </w:rPr>
        <w:t>exceptional items</w:t>
      </w:r>
    </w:p>
    <w:p w:rsidR="0047503B" w:rsidRPr="00813647" w:rsidRDefault="0047503B">
      <w:pPr>
        <w:pStyle w:val="BodyText3"/>
        <w:rPr>
          <w:rFonts w:cs="Tahoma"/>
          <w:b w:val="0"/>
          <w:sz w:val="20"/>
        </w:rPr>
      </w:pPr>
    </w:p>
    <w:p w:rsidR="00101F03" w:rsidRPr="00813647" w:rsidRDefault="00101F03">
      <w:pPr>
        <w:pStyle w:val="BodyText3"/>
        <w:rPr>
          <w:rFonts w:cs="Tahoma"/>
          <w:b w:val="0"/>
          <w:sz w:val="20"/>
        </w:rPr>
      </w:pPr>
    </w:p>
    <w:p w:rsidR="005D14EA" w:rsidRPr="00813647" w:rsidRDefault="003A3A87" w:rsidP="0007146A">
      <w:pPr>
        <w:pStyle w:val="Heading4"/>
        <w:rPr>
          <w:rFonts w:cs="Tahoma"/>
          <w:sz w:val="20"/>
        </w:rPr>
      </w:pPr>
      <w:r w:rsidRPr="00813647">
        <w:rPr>
          <w:rFonts w:cs="Tahoma"/>
          <w:sz w:val="20"/>
        </w:rPr>
        <w:t>B1</w:t>
      </w:r>
      <w:r w:rsidR="00347E03" w:rsidRPr="00813647">
        <w:rPr>
          <w:rFonts w:cs="Tahoma"/>
          <w:sz w:val="20"/>
        </w:rPr>
        <w:t>0</w:t>
      </w:r>
      <w:r w:rsidRPr="00813647">
        <w:rPr>
          <w:rFonts w:cs="Tahoma"/>
          <w:sz w:val="20"/>
        </w:rPr>
        <w:t>.</w:t>
      </w:r>
      <w:r w:rsidRPr="00813647">
        <w:rPr>
          <w:rFonts w:cs="Tahoma"/>
          <w:sz w:val="20"/>
        </w:rPr>
        <w:tab/>
      </w:r>
      <w:r w:rsidR="005D14EA" w:rsidRPr="00813647">
        <w:rPr>
          <w:rFonts w:cs="Tahoma"/>
          <w:sz w:val="20"/>
        </w:rPr>
        <w:t>R</w:t>
      </w:r>
      <w:r w:rsidR="00773EDD" w:rsidRPr="00813647">
        <w:rPr>
          <w:rFonts w:cs="Tahoma"/>
          <w:sz w:val="20"/>
        </w:rPr>
        <w:t xml:space="preserve">etained </w:t>
      </w:r>
      <w:r w:rsidR="005D14EA" w:rsidRPr="00813647">
        <w:rPr>
          <w:rFonts w:cs="Tahoma"/>
          <w:sz w:val="20"/>
        </w:rPr>
        <w:t>P</w:t>
      </w:r>
      <w:r w:rsidR="00773EDD" w:rsidRPr="00813647">
        <w:rPr>
          <w:rFonts w:cs="Tahoma"/>
          <w:sz w:val="20"/>
        </w:rPr>
        <w:t>rofits</w:t>
      </w:r>
    </w:p>
    <w:p w:rsidR="005D14EA" w:rsidRPr="00813647" w:rsidRDefault="005D14EA" w:rsidP="005D14EA">
      <w:pPr>
        <w:tabs>
          <w:tab w:val="left" w:pos="1185"/>
        </w:tabs>
        <w:ind w:left="709" w:hanging="709"/>
        <w:rPr>
          <w:rFonts w:ascii="Tahoma" w:hAnsi="Tahoma" w:cs="Tahoma"/>
        </w:rPr>
      </w:pPr>
      <w:r w:rsidRPr="00813647">
        <w:rPr>
          <w:rFonts w:ascii="Tahoma" w:hAnsi="Tahoma" w:cs="Tahoma"/>
        </w:rPr>
        <w:tab/>
      </w:r>
    </w:p>
    <w:p w:rsidR="005D14EA" w:rsidRPr="00813647" w:rsidRDefault="005D14EA" w:rsidP="00770306">
      <w:pPr>
        <w:tabs>
          <w:tab w:val="left" w:pos="1185"/>
        </w:tabs>
        <w:ind w:left="709" w:hanging="709"/>
        <w:jc w:val="both"/>
        <w:rPr>
          <w:rFonts w:ascii="Tahoma" w:hAnsi="Tahoma" w:cs="Tahoma"/>
        </w:rPr>
      </w:pPr>
      <w:r w:rsidRPr="00813647">
        <w:rPr>
          <w:rFonts w:ascii="Tahoma" w:hAnsi="Tahoma" w:cs="Tahoma"/>
        </w:rPr>
        <w:tab/>
        <w:t xml:space="preserve">The </w:t>
      </w:r>
      <w:r w:rsidR="00D07222">
        <w:rPr>
          <w:rFonts w:ascii="Tahoma" w:hAnsi="Tahoma" w:cs="Tahoma"/>
        </w:rPr>
        <w:t>breakdown</w:t>
      </w:r>
      <w:r w:rsidR="00312D0E" w:rsidRPr="00813647">
        <w:rPr>
          <w:rFonts w:ascii="Tahoma" w:hAnsi="Tahoma" w:cs="Tahoma"/>
        </w:rPr>
        <w:t xml:space="preserve"> of the retained earnings of the Group as of 3</w:t>
      </w:r>
      <w:r w:rsidR="00EF266E" w:rsidRPr="00813647">
        <w:rPr>
          <w:rFonts w:ascii="Tahoma" w:hAnsi="Tahoma" w:cs="Tahoma"/>
        </w:rPr>
        <w:t xml:space="preserve">1 </w:t>
      </w:r>
      <w:r w:rsidR="00923707">
        <w:rPr>
          <w:rFonts w:ascii="Tahoma" w:hAnsi="Tahoma" w:cs="Tahoma"/>
        </w:rPr>
        <w:t>January</w:t>
      </w:r>
      <w:r w:rsidR="007E5208" w:rsidRPr="00813647">
        <w:rPr>
          <w:rFonts w:ascii="Tahoma" w:hAnsi="Tahoma" w:cs="Tahoma"/>
        </w:rPr>
        <w:t xml:space="preserve"> </w:t>
      </w:r>
      <w:r w:rsidR="00312D0E" w:rsidRPr="00813647">
        <w:rPr>
          <w:rFonts w:ascii="Tahoma" w:hAnsi="Tahoma" w:cs="Tahoma"/>
        </w:rPr>
        <w:t>201</w:t>
      </w:r>
      <w:r w:rsidR="00923707">
        <w:rPr>
          <w:rFonts w:ascii="Tahoma" w:hAnsi="Tahoma" w:cs="Tahoma"/>
        </w:rPr>
        <w:t>6</w:t>
      </w:r>
      <w:r w:rsidR="00312D0E" w:rsidRPr="00813647">
        <w:rPr>
          <w:rFonts w:ascii="Tahoma" w:hAnsi="Tahoma" w:cs="Tahoma"/>
        </w:rPr>
        <w:t xml:space="preserve"> into realised and unrealised profits or losses are</w:t>
      </w:r>
      <w:r w:rsidR="00D07222">
        <w:rPr>
          <w:rFonts w:ascii="Tahoma" w:hAnsi="Tahoma" w:cs="Tahoma"/>
        </w:rPr>
        <w:t xml:space="preserve"> as follows:-</w:t>
      </w:r>
    </w:p>
    <w:p w:rsidR="005D14EA" w:rsidRPr="00813647" w:rsidRDefault="005D14EA" w:rsidP="00770306">
      <w:pPr>
        <w:tabs>
          <w:tab w:val="left" w:pos="1185"/>
        </w:tabs>
        <w:jc w:val="both"/>
        <w:rPr>
          <w:rFonts w:ascii="Tahoma" w:hAnsi="Tahoma" w:cs="Tahoma"/>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1"/>
        <w:gridCol w:w="2250"/>
        <w:gridCol w:w="2070"/>
      </w:tblGrid>
      <w:tr w:rsidR="00E7182D" w:rsidRPr="00BF25EE" w:rsidTr="00E7182D">
        <w:tc>
          <w:tcPr>
            <w:tcW w:w="3971" w:type="dxa"/>
          </w:tcPr>
          <w:p w:rsidR="00E7182D" w:rsidRPr="00813647" w:rsidRDefault="00E7182D" w:rsidP="00E7182D">
            <w:pPr>
              <w:jc w:val="both"/>
              <w:rPr>
                <w:rFonts w:ascii="Tahoma" w:hAnsi="Tahoma" w:cs="Tahoma"/>
              </w:rPr>
            </w:pPr>
            <w:r w:rsidRPr="00813647">
              <w:rPr>
                <w:rFonts w:ascii="Tahoma" w:hAnsi="Tahoma" w:cs="Tahoma"/>
              </w:rPr>
              <w:t>Total Retained Earnings / (Accumulated Losses) of the Group</w:t>
            </w:r>
          </w:p>
        </w:tc>
        <w:tc>
          <w:tcPr>
            <w:tcW w:w="2250" w:type="dxa"/>
          </w:tcPr>
          <w:p w:rsidR="00E7182D" w:rsidRPr="00813647" w:rsidRDefault="00141853" w:rsidP="00E7182D">
            <w:pPr>
              <w:tabs>
                <w:tab w:val="left" w:pos="405"/>
                <w:tab w:val="center" w:pos="1017"/>
              </w:tabs>
              <w:jc w:val="center"/>
              <w:rPr>
                <w:rFonts w:ascii="Tahoma" w:hAnsi="Tahoma" w:cs="Tahoma"/>
              </w:rPr>
            </w:pPr>
            <w:r>
              <w:rPr>
                <w:rFonts w:ascii="Tahoma" w:hAnsi="Tahoma" w:cs="Tahoma"/>
              </w:rPr>
              <w:t>31 January 2016</w:t>
            </w:r>
          </w:p>
          <w:p w:rsidR="00E7182D" w:rsidRPr="00813647" w:rsidRDefault="00E7182D" w:rsidP="00E7182D">
            <w:pPr>
              <w:jc w:val="center"/>
              <w:rPr>
                <w:rFonts w:ascii="Tahoma" w:hAnsi="Tahoma" w:cs="Tahoma"/>
              </w:rPr>
            </w:pPr>
            <w:r w:rsidRPr="00813647">
              <w:rPr>
                <w:rFonts w:ascii="Tahoma" w:hAnsi="Tahoma" w:cs="Tahoma"/>
              </w:rPr>
              <w:t>RM’000</w:t>
            </w:r>
          </w:p>
        </w:tc>
        <w:tc>
          <w:tcPr>
            <w:tcW w:w="2070" w:type="dxa"/>
          </w:tcPr>
          <w:p w:rsidR="00E7182D" w:rsidRPr="00BF25EE" w:rsidRDefault="00A06AA4" w:rsidP="00E7182D">
            <w:pPr>
              <w:tabs>
                <w:tab w:val="left" w:pos="405"/>
                <w:tab w:val="center" w:pos="1017"/>
              </w:tabs>
              <w:jc w:val="center"/>
              <w:rPr>
                <w:rFonts w:ascii="Tahoma" w:hAnsi="Tahoma" w:cs="Tahoma"/>
              </w:rPr>
            </w:pPr>
            <w:r>
              <w:rPr>
                <w:rFonts w:ascii="Tahoma" w:hAnsi="Tahoma" w:cs="Tahoma"/>
              </w:rPr>
              <w:t xml:space="preserve">31 </w:t>
            </w:r>
            <w:r w:rsidR="008371E0" w:rsidRPr="008371E0">
              <w:rPr>
                <w:rFonts w:ascii="Tahoma" w:hAnsi="Tahoma" w:cs="Tahoma"/>
              </w:rPr>
              <w:t>October</w:t>
            </w:r>
            <w:r>
              <w:rPr>
                <w:rFonts w:ascii="Tahoma" w:hAnsi="Tahoma" w:cs="Tahoma"/>
              </w:rPr>
              <w:t xml:space="preserve"> 2015</w:t>
            </w:r>
          </w:p>
          <w:p w:rsidR="00E7182D" w:rsidRPr="00BF25EE" w:rsidRDefault="00A06AA4" w:rsidP="00E7182D">
            <w:pPr>
              <w:jc w:val="center"/>
              <w:rPr>
                <w:rFonts w:ascii="Tahoma" w:hAnsi="Tahoma" w:cs="Tahoma"/>
              </w:rPr>
            </w:pPr>
            <w:r>
              <w:rPr>
                <w:rFonts w:ascii="Tahoma" w:hAnsi="Tahoma" w:cs="Tahoma"/>
              </w:rPr>
              <w:t>RM’000</w:t>
            </w:r>
          </w:p>
        </w:tc>
      </w:tr>
      <w:tr w:rsidR="00E7182D" w:rsidRPr="00BF25EE" w:rsidTr="00B46B8E">
        <w:trPr>
          <w:trHeight w:val="395"/>
        </w:trPr>
        <w:tc>
          <w:tcPr>
            <w:tcW w:w="3971" w:type="dxa"/>
          </w:tcPr>
          <w:p w:rsidR="008371E0" w:rsidRDefault="00E7182D" w:rsidP="008371E0">
            <w:pPr>
              <w:rPr>
                <w:rFonts w:ascii="Tahoma" w:hAnsi="Tahoma" w:cs="Tahoma"/>
              </w:rPr>
            </w:pPr>
            <w:r w:rsidRPr="00813647">
              <w:rPr>
                <w:rFonts w:ascii="Tahoma" w:hAnsi="Tahoma" w:cs="Tahoma"/>
              </w:rPr>
              <w:t xml:space="preserve">  - Realised</w:t>
            </w:r>
          </w:p>
          <w:p w:rsidR="008371E0" w:rsidRDefault="00E7182D" w:rsidP="008371E0">
            <w:pPr>
              <w:rPr>
                <w:rFonts w:ascii="Tahoma" w:hAnsi="Tahoma" w:cs="Tahoma"/>
              </w:rPr>
            </w:pPr>
            <w:r w:rsidRPr="00813647">
              <w:rPr>
                <w:rFonts w:ascii="Tahoma" w:hAnsi="Tahoma" w:cs="Tahoma"/>
              </w:rPr>
              <w:t xml:space="preserve"> - </w:t>
            </w:r>
            <w:proofErr w:type="spellStart"/>
            <w:r w:rsidRPr="00813647">
              <w:rPr>
                <w:rFonts w:ascii="Tahoma" w:hAnsi="Tahoma" w:cs="Tahoma"/>
              </w:rPr>
              <w:t>Unrealised</w:t>
            </w:r>
            <w:proofErr w:type="spellEnd"/>
          </w:p>
          <w:p w:rsidR="008371E0" w:rsidRDefault="00E7182D" w:rsidP="008371E0">
            <w:pPr>
              <w:tabs>
                <w:tab w:val="center" w:pos="1517"/>
              </w:tabs>
              <w:rPr>
                <w:rFonts w:ascii="Tahoma" w:hAnsi="Tahoma" w:cs="Tahoma"/>
              </w:rPr>
            </w:pPr>
            <w:r w:rsidRPr="00813647">
              <w:rPr>
                <w:rFonts w:ascii="Tahoma" w:hAnsi="Tahoma" w:cs="Tahoma"/>
              </w:rPr>
              <w:t xml:space="preserve">Total </w:t>
            </w:r>
            <w:r w:rsidRPr="00813647">
              <w:rPr>
                <w:rFonts w:ascii="Tahoma" w:hAnsi="Tahoma" w:cs="Tahoma"/>
              </w:rPr>
              <w:tab/>
            </w:r>
          </w:p>
        </w:tc>
        <w:tc>
          <w:tcPr>
            <w:tcW w:w="2250" w:type="dxa"/>
          </w:tcPr>
          <w:p w:rsidR="00A06AA4" w:rsidRDefault="00DD4579">
            <w:pPr>
              <w:pBdr>
                <w:bottom w:val="single" w:sz="6" w:space="1" w:color="auto"/>
              </w:pBdr>
              <w:jc w:val="right"/>
              <w:rPr>
                <w:rFonts w:ascii="Tahoma" w:hAnsi="Tahoma" w:cs="Tahoma"/>
              </w:rPr>
            </w:pPr>
            <w:r>
              <w:rPr>
                <w:rFonts w:ascii="Tahoma" w:hAnsi="Tahoma" w:cs="Tahoma"/>
              </w:rPr>
              <w:t>68,440</w:t>
            </w:r>
          </w:p>
          <w:p w:rsidR="00A06AA4" w:rsidRDefault="00E7182D">
            <w:pPr>
              <w:pBdr>
                <w:bottom w:val="single" w:sz="6" w:space="1" w:color="auto"/>
              </w:pBdr>
              <w:jc w:val="right"/>
              <w:rPr>
                <w:rFonts w:ascii="Tahoma" w:hAnsi="Tahoma" w:cs="Tahoma"/>
              </w:rPr>
            </w:pPr>
            <w:r w:rsidRPr="00813647">
              <w:rPr>
                <w:rFonts w:ascii="Tahoma" w:hAnsi="Tahoma" w:cs="Tahoma"/>
              </w:rPr>
              <w:t>(2,</w:t>
            </w:r>
            <w:r w:rsidR="00CF3BB7">
              <w:rPr>
                <w:rFonts w:ascii="Tahoma" w:hAnsi="Tahoma" w:cs="Tahoma"/>
              </w:rPr>
              <w:t>393</w:t>
            </w:r>
            <w:r w:rsidRPr="00813647">
              <w:rPr>
                <w:rFonts w:ascii="Tahoma" w:hAnsi="Tahoma" w:cs="Tahoma"/>
              </w:rPr>
              <w:t>)</w:t>
            </w:r>
          </w:p>
          <w:p w:rsidR="00A06AA4" w:rsidRDefault="00DD4579">
            <w:pPr>
              <w:pBdr>
                <w:bottom w:val="double" w:sz="6" w:space="1" w:color="auto"/>
              </w:pBdr>
              <w:jc w:val="right"/>
              <w:rPr>
                <w:rFonts w:ascii="Tahoma" w:hAnsi="Tahoma" w:cs="Tahoma"/>
              </w:rPr>
            </w:pPr>
            <w:r>
              <w:rPr>
                <w:rFonts w:ascii="Tahoma" w:hAnsi="Tahoma" w:cs="Tahoma"/>
              </w:rPr>
              <w:t>66,047</w:t>
            </w:r>
          </w:p>
          <w:p w:rsidR="008371E0" w:rsidRDefault="008371E0" w:rsidP="008371E0">
            <w:pPr>
              <w:jc w:val="right"/>
              <w:rPr>
                <w:rFonts w:ascii="Tahoma" w:hAnsi="Tahoma" w:cs="Tahoma"/>
                <w:sz w:val="22"/>
                <w:u w:val="single"/>
              </w:rPr>
            </w:pPr>
          </w:p>
        </w:tc>
        <w:tc>
          <w:tcPr>
            <w:tcW w:w="2070" w:type="dxa"/>
          </w:tcPr>
          <w:p w:rsidR="00A06AA4" w:rsidRPr="00BF25EE" w:rsidRDefault="008371E0">
            <w:pPr>
              <w:pBdr>
                <w:bottom w:val="single" w:sz="6" w:space="1" w:color="auto"/>
              </w:pBdr>
              <w:jc w:val="right"/>
              <w:rPr>
                <w:rFonts w:ascii="Tahoma" w:hAnsi="Tahoma" w:cs="Tahoma"/>
              </w:rPr>
            </w:pPr>
            <w:r w:rsidRPr="008371E0">
              <w:rPr>
                <w:rFonts w:ascii="Tahoma" w:hAnsi="Tahoma" w:cs="Tahoma"/>
              </w:rPr>
              <w:t>68,078</w:t>
            </w:r>
          </w:p>
          <w:p w:rsidR="00A06AA4" w:rsidRPr="00BF25EE" w:rsidRDefault="00A06AA4">
            <w:pPr>
              <w:pBdr>
                <w:bottom w:val="single" w:sz="6" w:space="1" w:color="auto"/>
              </w:pBdr>
              <w:jc w:val="right"/>
              <w:rPr>
                <w:rFonts w:ascii="Tahoma" w:hAnsi="Tahoma" w:cs="Tahoma"/>
              </w:rPr>
            </w:pPr>
            <w:r>
              <w:rPr>
                <w:rFonts w:ascii="Tahoma" w:hAnsi="Tahoma" w:cs="Tahoma"/>
              </w:rPr>
              <w:t>(2,</w:t>
            </w:r>
            <w:r w:rsidR="008371E0" w:rsidRPr="008371E0">
              <w:rPr>
                <w:rFonts w:ascii="Tahoma" w:hAnsi="Tahoma" w:cs="Tahoma"/>
              </w:rPr>
              <w:t>666</w:t>
            </w:r>
            <w:r>
              <w:rPr>
                <w:rFonts w:ascii="Tahoma" w:hAnsi="Tahoma" w:cs="Tahoma"/>
              </w:rPr>
              <w:t>)</w:t>
            </w:r>
          </w:p>
          <w:p w:rsidR="008371E0" w:rsidRDefault="00DD4579" w:rsidP="008371E0">
            <w:pPr>
              <w:pBdr>
                <w:bottom w:val="double" w:sz="6" w:space="1" w:color="auto"/>
              </w:pBdr>
              <w:jc w:val="right"/>
              <w:rPr>
                <w:rFonts w:ascii="Tahoma" w:hAnsi="Tahoma" w:cs="Tahoma"/>
              </w:rPr>
            </w:pPr>
            <w:r>
              <w:rPr>
                <w:rFonts w:ascii="Tahoma" w:hAnsi="Tahoma" w:cs="Tahoma"/>
              </w:rPr>
              <w:t>6</w:t>
            </w:r>
            <w:r w:rsidR="008371E0" w:rsidRPr="008371E0">
              <w:rPr>
                <w:rFonts w:ascii="Tahoma" w:hAnsi="Tahoma" w:cs="Tahoma"/>
              </w:rPr>
              <w:t>5,412</w:t>
            </w:r>
          </w:p>
        </w:tc>
      </w:tr>
    </w:tbl>
    <w:p w:rsidR="005D14EA" w:rsidRPr="00813647" w:rsidRDefault="005D14EA" w:rsidP="00770306">
      <w:pPr>
        <w:jc w:val="both"/>
        <w:rPr>
          <w:rFonts w:ascii="Tahoma" w:hAnsi="Tahoma" w:cs="Tahoma"/>
        </w:rPr>
      </w:pPr>
    </w:p>
    <w:p w:rsidR="004A4606" w:rsidRPr="00813647" w:rsidRDefault="004A4606" w:rsidP="00770306">
      <w:pPr>
        <w:jc w:val="both"/>
        <w:rPr>
          <w:rFonts w:ascii="Tahoma" w:hAnsi="Tahoma" w:cs="Tahoma"/>
        </w:rPr>
      </w:pPr>
    </w:p>
    <w:p w:rsidR="00E956A7" w:rsidRPr="00813647" w:rsidRDefault="00E956A7" w:rsidP="0007146A">
      <w:pPr>
        <w:pStyle w:val="Heading4"/>
        <w:rPr>
          <w:rFonts w:cs="Tahoma"/>
          <w:sz w:val="20"/>
        </w:rPr>
      </w:pPr>
      <w:r w:rsidRPr="00813647">
        <w:rPr>
          <w:rFonts w:cs="Tahoma"/>
          <w:sz w:val="20"/>
        </w:rPr>
        <w:t>B1</w:t>
      </w:r>
      <w:r w:rsidR="00347E03" w:rsidRPr="00813647">
        <w:rPr>
          <w:rFonts w:cs="Tahoma"/>
          <w:sz w:val="20"/>
        </w:rPr>
        <w:t>1</w:t>
      </w:r>
      <w:r w:rsidR="003753C9" w:rsidRPr="00813647">
        <w:rPr>
          <w:rFonts w:cs="Tahoma"/>
          <w:sz w:val="20"/>
        </w:rPr>
        <w:t xml:space="preserve">. </w:t>
      </w:r>
      <w:r w:rsidR="003753C9" w:rsidRPr="00813647">
        <w:rPr>
          <w:rFonts w:cs="Tahoma"/>
          <w:sz w:val="20"/>
        </w:rPr>
        <w:tab/>
        <w:t>Dividend</w:t>
      </w:r>
    </w:p>
    <w:p w:rsidR="001C241E" w:rsidRPr="00813647" w:rsidRDefault="001C241E" w:rsidP="00E956A7">
      <w:pPr>
        <w:pStyle w:val="BodyText3"/>
        <w:ind w:left="720"/>
        <w:rPr>
          <w:rFonts w:cs="Tahoma"/>
          <w:b w:val="0"/>
          <w:sz w:val="20"/>
        </w:rPr>
      </w:pPr>
    </w:p>
    <w:p w:rsidR="00200F70" w:rsidRPr="00813647" w:rsidRDefault="00200F70" w:rsidP="00200F70">
      <w:pPr>
        <w:pStyle w:val="BodyText3"/>
        <w:ind w:left="720"/>
        <w:rPr>
          <w:rFonts w:cs="Tahoma"/>
          <w:b w:val="0"/>
          <w:sz w:val="20"/>
        </w:rPr>
      </w:pPr>
      <w:r w:rsidRPr="00813647">
        <w:rPr>
          <w:rFonts w:cs="Tahoma"/>
          <w:b w:val="0"/>
          <w:sz w:val="20"/>
        </w:rPr>
        <w:t>The directors do not recommend the payment of any dividend for the current financ</w:t>
      </w:r>
      <w:r w:rsidR="007A3B07">
        <w:rPr>
          <w:rFonts w:cs="Tahoma"/>
          <w:b w:val="0"/>
          <w:sz w:val="20"/>
        </w:rPr>
        <w:t>ial period ended 31 January 2016</w:t>
      </w:r>
      <w:r w:rsidRPr="00813647">
        <w:rPr>
          <w:rFonts w:cs="Tahoma"/>
          <w:b w:val="0"/>
          <w:sz w:val="20"/>
        </w:rPr>
        <w:t>.</w:t>
      </w:r>
    </w:p>
    <w:p w:rsidR="004A4606" w:rsidRPr="00813647" w:rsidRDefault="004A4606" w:rsidP="00970D50">
      <w:pPr>
        <w:pStyle w:val="BodyText3"/>
        <w:tabs>
          <w:tab w:val="left" w:pos="1980"/>
        </w:tabs>
        <w:rPr>
          <w:rFonts w:cs="Tahoma"/>
          <w:sz w:val="20"/>
        </w:rPr>
      </w:pPr>
    </w:p>
    <w:p w:rsidR="007C2A78" w:rsidRPr="00813647" w:rsidRDefault="007C2A78">
      <w:pPr>
        <w:pStyle w:val="BodyText3"/>
        <w:rPr>
          <w:rFonts w:cs="Tahoma"/>
          <w:sz w:val="20"/>
        </w:rPr>
      </w:pPr>
    </w:p>
    <w:p w:rsidR="00C945B0" w:rsidRPr="00813647" w:rsidRDefault="00C945B0" w:rsidP="0007146A">
      <w:pPr>
        <w:pStyle w:val="Heading4"/>
        <w:rPr>
          <w:rFonts w:cs="Tahoma"/>
          <w:sz w:val="20"/>
        </w:rPr>
      </w:pPr>
      <w:r w:rsidRPr="00813647">
        <w:rPr>
          <w:rFonts w:cs="Tahoma"/>
          <w:sz w:val="20"/>
        </w:rPr>
        <w:t>B1</w:t>
      </w:r>
      <w:r w:rsidR="00347E03" w:rsidRPr="00813647">
        <w:rPr>
          <w:rFonts w:cs="Tahoma"/>
          <w:sz w:val="20"/>
        </w:rPr>
        <w:t>2</w:t>
      </w:r>
      <w:r w:rsidRPr="00813647">
        <w:rPr>
          <w:rFonts w:cs="Tahoma"/>
          <w:sz w:val="20"/>
        </w:rPr>
        <w:t>.</w:t>
      </w:r>
      <w:r w:rsidRPr="00813647">
        <w:rPr>
          <w:rFonts w:cs="Tahoma"/>
          <w:sz w:val="20"/>
        </w:rPr>
        <w:tab/>
        <w:t>Basi</w:t>
      </w:r>
      <w:r w:rsidR="00B05168" w:rsidRPr="00813647">
        <w:rPr>
          <w:rFonts w:cs="Tahoma"/>
          <w:sz w:val="20"/>
        </w:rPr>
        <w:t>c</w:t>
      </w:r>
      <w:r w:rsidRPr="00813647">
        <w:rPr>
          <w:rFonts w:cs="Tahoma"/>
          <w:sz w:val="20"/>
        </w:rPr>
        <w:t xml:space="preserve"> Earnings Per Share (EPS)</w:t>
      </w:r>
    </w:p>
    <w:p w:rsidR="00C945B0" w:rsidRPr="00813647" w:rsidRDefault="00C945B0">
      <w:pPr>
        <w:ind w:left="720"/>
        <w:jc w:val="both"/>
        <w:rPr>
          <w:rFonts w:ascii="Tahoma" w:hAnsi="Tahoma" w:cs="Tahoma"/>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170"/>
        <w:gridCol w:w="1620"/>
        <w:gridCol w:w="1530"/>
        <w:gridCol w:w="1710"/>
      </w:tblGrid>
      <w:tr w:rsidR="00920D83" w:rsidRPr="00813647">
        <w:tc>
          <w:tcPr>
            <w:tcW w:w="2340" w:type="dxa"/>
          </w:tcPr>
          <w:p w:rsidR="00920D83" w:rsidRPr="00813647" w:rsidRDefault="00920D83" w:rsidP="00920D83">
            <w:pPr>
              <w:jc w:val="both"/>
              <w:rPr>
                <w:rFonts w:ascii="Tahoma" w:hAnsi="Tahoma" w:cs="Tahoma"/>
              </w:rPr>
            </w:pPr>
          </w:p>
        </w:tc>
        <w:tc>
          <w:tcPr>
            <w:tcW w:w="1170" w:type="dxa"/>
          </w:tcPr>
          <w:p w:rsidR="00FC07BB" w:rsidRPr="00813647" w:rsidRDefault="00FC07BB" w:rsidP="0010727B">
            <w:pPr>
              <w:jc w:val="center"/>
              <w:rPr>
                <w:rFonts w:ascii="Tahoma" w:hAnsi="Tahoma" w:cs="Tahoma"/>
              </w:rPr>
            </w:pPr>
          </w:p>
          <w:p w:rsidR="00920D83" w:rsidRPr="00813647" w:rsidRDefault="00920D83" w:rsidP="0010727B">
            <w:pPr>
              <w:jc w:val="center"/>
              <w:rPr>
                <w:rFonts w:ascii="Tahoma" w:hAnsi="Tahoma" w:cs="Tahoma"/>
              </w:rPr>
            </w:pPr>
            <w:r w:rsidRPr="00813647">
              <w:rPr>
                <w:rFonts w:ascii="Tahoma" w:hAnsi="Tahoma" w:cs="Tahoma"/>
              </w:rPr>
              <w:t>Current</w:t>
            </w:r>
          </w:p>
          <w:p w:rsidR="00920D83" w:rsidRPr="00813647" w:rsidRDefault="00920D83" w:rsidP="0010727B">
            <w:pPr>
              <w:jc w:val="center"/>
              <w:rPr>
                <w:rFonts w:ascii="Tahoma" w:hAnsi="Tahoma" w:cs="Tahoma"/>
              </w:rPr>
            </w:pPr>
            <w:r w:rsidRPr="00813647">
              <w:rPr>
                <w:rFonts w:ascii="Tahoma" w:hAnsi="Tahoma" w:cs="Tahoma"/>
              </w:rPr>
              <w:t>Quarter</w:t>
            </w:r>
          </w:p>
        </w:tc>
        <w:tc>
          <w:tcPr>
            <w:tcW w:w="1620" w:type="dxa"/>
          </w:tcPr>
          <w:p w:rsidR="00920D83" w:rsidRPr="00813647" w:rsidRDefault="00920D83" w:rsidP="0010727B">
            <w:pPr>
              <w:jc w:val="center"/>
              <w:rPr>
                <w:rFonts w:ascii="Tahoma" w:hAnsi="Tahoma" w:cs="Tahoma"/>
              </w:rPr>
            </w:pPr>
            <w:r w:rsidRPr="00813647">
              <w:rPr>
                <w:rFonts w:ascii="Tahoma" w:hAnsi="Tahoma" w:cs="Tahoma"/>
              </w:rPr>
              <w:t>Preceding Year Corresponding Quarter</w:t>
            </w:r>
          </w:p>
        </w:tc>
        <w:tc>
          <w:tcPr>
            <w:tcW w:w="1530" w:type="dxa"/>
          </w:tcPr>
          <w:p w:rsidR="00FC07BB" w:rsidRPr="00813647" w:rsidRDefault="00FC07BB" w:rsidP="0010727B">
            <w:pPr>
              <w:jc w:val="center"/>
              <w:rPr>
                <w:rFonts w:ascii="Tahoma" w:hAnsi="Tahoma" w:cs="Tahoma"/>
              </w:rPr>
            </w:pPr>
          </w:p>
          <w:p w:rsidR="00920D83" w:rsidRPr="00813647" w:rsidRDefault="00920D83" w:rsidP="0010727B">
            <w:pPr>
              <w:jc w:val="center"/>
              <w:rPr>
                <w:rFonts w:ascii="Tahoma" w:hAnsi="Tahoma" w:cs="Tahoma"/>
              </w:rPr>
            </w:pPr>
            <w:r w:rsidRPr="00813647">
              <w:rPr>
                <w:rFonts w:ascii="Tahoma" w:hAnsi="Tahoma" w:cs="Tahoma"/>
              </w:rPr>
              <w:t>Current</w:t>
            </w:r>
          </w:p>
          <w:p w:rsidR="00920D83" w:rsidRPr="00813647" w:rsidRDefault="00920D83" w:rsidP="0010727B">
            <w:pPr>
              <w:jc w:val="center"/>
              <w:rPr>
                <w:rFonts w:ascii="Tahoma" w:hAnsi="Tahoma" w:cs="Tahoma"/>
              </w:rPr>
            </w:pPr>
            <w:r w:rsidRPr="00813647">
              <w:rPr>
                <w:rFonts w:ascii="Tahoma" w:hAnsi="Tahoma" w:cs="Tahoma"/>
              </w:rPr>
              <w:t>Year To Date</w:t>
            </w:r>
          </w:p>
        </w:tc>
        <w:tc>
          <w:tcPr>
            <w:tcW w:w="1710" w:type="dxa"/>
          </w:tcPr>
          <w:p w:rsidR="00920D83" w:rsidRPr="00813647" w:rsidRDefault="00920D83" w:rsidP="0010727B">
            <w:pPr>
              <w:jc w:val="center"/>
              <w:rPr>
                <w:rFonts w:ascii="Tahoma" w:hAnsi="Tahoma" w:cs="Tahoma"/>
              </w:rPr>
            </w:pPr>
            <w:r w:rsidRPr="00813647">
              <w:rPr>
                <w:rFonts w:ascii="Tahoma" w:hAnsi="Tahoma" w:cs="Tahoma"/>
              </w:rPr>
              <w:t>Preceding Year Corresponding Year To Date</w:t>
            </w:r>
          </w:p>
        </w:tc>
      </w:tr>
      <w:tr w:rsidR="00200F70" w:rsidRPr="00813647">
        <w:trPr>
          <w:trHeight w:val="837"/>
        </w:trPr>
        <w:tc>
          <w:tcPr>
            <w:tcW w:w="2340" w:type="dxa"/>
          </w:tcPr>
          <w:p w:rsidR="00200F70" w:rsidRPr="00813647" w:rsidRDefault="00200F70" w:rsidP="00200F70">
            <w:pPr>
              <w:jc w:val="both"/>
              <w:rPr>
                <w:rFonts w:ascii="Tahoma" w:hAnsi="Tahoma" w:cs="Tahoma"/>
              </w:rPr>
            </w:pPr>
            <w:r w:rsidRPr="00813647">
              <w:rPr>
                <w:rFonts w:ascii="Tahoma" w:hAnsi="Tahoma" w:cs="Tahoma"/>
              </w:rPr>
              <w:t>Profit after tax and minority interest (RM’000)</w:t>
            </w:r>
          </w:p>
        </w:tc>
        <w:tc>
          <w:tcPr>
            <w:tcW w:w="1170" w:type="dxa"/>
          </w:tcPr>
          <w:p w:rsidR="00200F70" w:rsidRPr="00813647" w:rsidRDefault="00200F70" w:rsidP="00200F70">
            <w:pPr>
              <w:ind w:right="400"/>
              <w:rPr>
                <w:rFonts w:ascii="Tahoma" w:hAnsi="Tahoma" w:cs="Tahoma"/>
              </w:rPr>
            </w:pPr>
          </w:p>
          <w:p w:rsidR="00200F70" w:rsidRPr="00813647" w:rsidRDefault="00200F70" w:rsidP="00200F70">
            <w:pPr>
              <w:ind w:right="400"/>
              <w:rPr>
                <w:rFonts w:ascii="Tahoma" w:hAnsi="Tahoma" w:cs="Tahoma"/>
              </w:rPr>
            </w:pPr>
          </w:p>
          <w:p w:rsidR="00200F70" w:rsidRPr="00813647" w:rsidRDefault="00DD4579" w:rsidP="005172A0">
            <w:pPr>
              <w:jc w:val="right"/>
              <w:rPr>
                <w:rFonts w:ascii="Tahoma" w:hAnsi="Tahoma" w:cs="Tahoma"/>
              </w:rPr>
            </w:pPr>
            <w:r>
              <w:rPr>
                <w:rFonts w:ascii="Tahoma" w:hAnsi="Tahoma" w:cs="Tahoma"/>
              </w:rPr>
              <w:t>6,</w:t>
            </w:r>
            <w:r w:rsidR="005172A0">
              <w:rPr>
                <w:rFonts w:ascii="Tahoma" w:hAnsi="Tahoma" w:cs="Tahoma"/>
              </w:rPr>
              <w:t>107</w:t>
            </w:r>
          </w:p>
        </w:tc>
        <w:tc>
          <w:tcPr>
            <w:tcW w:w="1620" w:type="dxa"/>
          </w:tcPr>
          <w:p w:rsidR="00200F70" w:rsidRPr="00813647" w:rsidRDefault="00200F70" w:rsidP="00200F70">
            <w:pPr>
              <w:ind w:right="400"/>
              <w:rPr>
                <w:rFonts w:ascii="Tahoma" w:hAnsi="Tahoma" w:cs="Tahoma"/>
              </w:rPr>
            </w:pPr>
          </w:p>
          <w:p w:rsidR="00200F70" w:rsidRPr="00813647" w:rsidRDefault="00200F70" w:rsidP="00200F70">
            <w:pPr>
              <w:ind w:right="400"/>
              <w:rPr>
                <w:rFonts w:ascii="Tahoma" w:hAnsi="Tahoma" w:cs="Tahoma"/>
              </w:rPr>
            </w:pPr>
          </w:p>
          <w:p w:rsidR="00200F70" w:rsidRPr="00813647" w:rsidRDefault="00923707" w:rsidP="00200F70">
            <w:pPr>
              <w:jc w:val="right"/>
              <w:rPr>
                <w:rFonts w:ascii="Tahoma" w:hAnsi="Tahoma" w:cs="Tahoma"/>
              </w:rPr>
            </w:pPr>
            <w:r>
              <w:rPr>
                <w:rFonts w:ascii="Tahoma" w:hAnsi="Tahoma" w:cs="Tahoma"/>
              </w:rPr>
              <w:t>1,023</w:t>
            </w:r>
          </w:p>
        </w:tc>
        <w:tc>
          <w:tcPr>
            <w:tcW w:w="1530" w:type="dxa"/>
          </w:tcPr>
          <w:p w:rsidR="00200F70" w:rsidRPr="00813647" w:rsidRDefault="00200F70" w:rsidP="00200F70">
            <w:pPr>
              <w:ind w:right="400"/>
              <w:rPr>
                <w:rFonts w:ascii="Tahoma" w:hAnsi="Tahoma" w:cs="Tahoma"/>
              </w:rPr>
            </w:pPr>
          </w:p>
          <w:p w:rsidR="00200F70" w:rsidRPr="00813647" w:rsidRDefault="00200F70" w:rsidP="00200F70">
            <w:pPr>
              <w:ind w:right="400"/>
              <w:rPr>
                <w:rFonts w:ascii="Tahoma" w:hAnsi="Tahoma" w:cs="Tahoma"/>
              </w:rPr>
            </w:pPr>
          </w:p>
          <w:p w:rsidR="00200F70" w:rsidRPr="00813647" w:rsidRDefault="00FD1225" w:rsidP="005172A0">
            <w:pPr>
              <w:jc w:val="right"/>
              <w:rPr>
                <w:rFonts w:ascii="Tahoma" w:hAnsi="Tahoma" w:cs="Tahoma"/>
              </w:rPr>
            </w:pPr>
            <w:r>
              <w:rPr>
                <w:rFonts w:ascii="Tahoma" w:hAnsi="Tahoma" w:cs="Tahoma"/>
              </w:rPr>
              <w:t>1</w:t>
            </w:r>
            <w:r w:rsidR="00DD4579">
              <w:rPr>
                <w:rFonts w:ascii="Tahoma" w:hAnsi="Tahoma" w:cs="Tahoma"/>
              </w:rPr>
              <w:t>1,</w:t>
            </w:r>
            <w:r w:rsidR="005172A0">
              <w:rPr>
                <w:rFonts w:ascii="Tahoma" w:hAnsi="Tahoma" w:cs="Tahoma"/>
              </w:rPr>
              <w:t>562</w:t>
            </w:r>
          </w:p>
        </w:tc>
        <w:tc>
          <w:tcPr>
            <w:tcW w:w="1710" w:type="dxa"/>
          </w:tcPr>
          <w:p w:rsidR="00200F70" w:rsidRPr="00813647" w:rsidRDefault="00200F70" w:rsidP="00200F70">
            <w:pPr>
              <w:ind w:right="400"/>
              <w:rPr>
                <w:rFonts w:ascii="Tahoma" w:hAnsi="Tahoma" w:cs="Tahoma"/>
              </w:rPr>
            </w:pPr>
          </w:p>
          <w:p w:rsidR="00200F70" w:rsidRPr="00813647" w:rsidRDefault="00200F70" w:rsidP="00200F70">
            <w:pPr>
              <w:ind w:right="400"/>
              <w:rPr>
                <w:rFonts w:ascii="Tahoma" w:hAnsi="Tahoma" w:cs="Tahoma"/>
              </w:rPr>
            </w:pPr>
          </w:p>
          <w:p w:rsidR="00200F70" w:rsidRPr="00813647" w:rsidRDefault="00923707" w:rsidP="00200F70">
            <w:pPr>
              <w:jc w:val="right"/>
              <w:rPr>
                <w:rFonts w:ascii="Tahoma" w:hAnsi="Tahoma" w:cs="Tahoma"/>
              </w:rPr>
            </w:pPr>
            <w:r>
              <w:rPr>
                <w:rFonts w:ascii="Tahoma" w:hAnsi="Tahoma" w:cs="Tahoma"/>
              </w:rPr>
              <w:t>2,179</w:t>
            </w:r>
          </w:p>
        </w:tc>
      </w:tr>
      <w:tr w:rsidR="00200F70" w:rsidRPr="00813647">
        <w:trPr>
          <w:trHeight w:val="819"/>
        </w:trPr>
        <w:tc>
          <w:tcPr>
            <w:tcW w:w="2340" w:type="dxa"/>
          </w:tcPr>
          <w:p w:rsidR="00200F70" w:rsidRPr="00813647" w:rsidRDefault="00200F70" w:rsidP="00200F70">
            <w:pPr>
              <w:jc w:val="both"/>
              <w:rPr>
                <w:rFonts w:ascii="Tahoma" w:hAnsi="Tahoma" w:cs="Tahoma"/>
              </w:rPr>
            </w:pPr>
            <w:r w:rsidRPr="00813647">
              <w:rPr>
                <w:rFonts w:ascii="Tahoma" w:hAnsi="Tahoma" w:cs="Tahoma"/>
              </w:rPr>
              <w:t>Weighted average number of ordinary shares in issue (‘000)</w:t>
            </w:r>
          </w:p>
        </w:tc>
        <w:tc>
          <w:tcPr>
            <w:tcW w:w="1170" w:type="dxa"/>
          </w:tcPr>
          <w:p w:rsidR="00200F70" w:rsidRPr="00813647" w:rsidRDefault="00200F70" w:rsidP="00200F70">
            <w:pPr>
              <w:ind w:right="400"/>
              <w:rPr>
                <w:rFonts w:ascii="Tahoma" w:hAnsi="Tahoma" w:cs="Tahoma"/>
              </w:rPr>
            </w:pPr>
          </w:p>
          <w:p w:rsidR="00200F70" w:rsidRPr="00813647" w:rsidRDefault="00200F70" w:rsidP="00200F70">
            <w:pPr>
              <w:jc w:val="right"/>
              <w:rPr>
                <w:rFonts w:ascii="Tahoma" w:hAnsi="Tahoma" w:cs="Tahoma"/>
              </w:rPr>
            </w:pPr>
          </w:p>
          <w:p w:rsidR="00200F70" w:rsidRPr="00813647" w:rsidRDefault="00FD1225" w:rsidP="00200F70">
            <w:pPr>
              <w:jc w:val="right"/>
              <w:rPr>
                <w:rFonts w:ascii="Tahoma" w:hAnsi="Tahoma" w:cs="Tahoma"/>
              </w:rPr>
            </w:pPr>
            <w:r>
              <w:rPr>
                <w:rFonts w:ascii="Tahoma" w:hAnsi="Tahoma" w:cs="Tahoma"/>
              </w:rPr>
              <w:t>136,76</w:t>
            </w:r>
            <w:r w:rsidR="00BF25EE">
              <w:rPr>
                <w:rFonts w:ascii="Tahoma" w:hAnsi="Tahoma" w:cs="Tahoma"/>
              </w:rPr>
              <w:t>4</w:t>
            </w:r>
          </w:p>
        </w:tc>
        <w:tc>
          <w:tcPr>
            <w:tcW w:w="1620" w:type="dxa"/>
          </w:tcPr>
          <w:p w:rsidR="00923707" w:rsidRPr="00813647" w:rsidRDefault="00923707" w:rsidP="00200F70">
            <w:pPr>
              <w:ind w:right="400"/>
              <w:rPr>
                <w:rFonts w:ascii="Tahoma" w:hAnsi="Tahoma" w:cs="Tahoma"/>
              </w:rPr>
            </w:pPr>
          </w:p>
          <w:p w:rsidR="00200F70" w:rsidRPr="00813647" w:rsidRDefault="00200F70" w:rsidP="00200F70">
            <w:pPr>
              <w:jc w:val="right"/>
              <w:rPr>
                <w:rFonts w:ascii="Tahoma" w:hAnsi="Tahoma" w:cs="Tahoma"/>
              </w:rPr>
            </w:pPr>
          </w:p>
          <w:p w:rsidR="00200F70" w:rsidRPr="00813647" w:rsidRDefault="00923707" w:rsidP="00200F70">
            <w:pPr>
              <w:jc w:val="right"/>
              <w:rPr>
                <w:rFonts w:ascii="Tahoma" w:hAnsi="Tahoma" w:cs="Tahoma"/>
              </w:rPr>
            </w:pPr>
            <w:r>
              <w:rPr>
                <w:rFonts w:ascii="Tahoma" w:hAnsi="Tahoma" w:cs="Tahoma"/>
              </w:rPr>
              <w:t>136,779</w:t>
            </w:r>
          </w:p>
        </w:tc>
        <w:tc>
          <w:tcPr>
            <w:tcW w:w="1530" w:type="dxa"/>
          </w:tcPr>
          <w:p w:rsidR="00200F70" w:rsidRPr="00813647" w:rsidRDefault="00200F70" w:rsidP="00200F70">
            <w:pPr>
              <w:ind w:right="400"/>
              <w:rPr>
                <w:rFonts w:ascii="Tahoma" w:hAnsi="Tahoma" w:cs="Tahoma"/>
              </w:rPr>
            </w:pPr>
          </w:p>
          <w:p w:rsidR="00200F70" w:rsidRPr="00813647" w:rsidRDefault="00200F70" w:rsidP="00200F70">
            <w:pPr>
              <w:jc w:val="right"/>
              <w:rPr>
                <w:rFonts w:ascii="Tahoma" w:hAnsi="Tahoma" w:cs="Tahoma"/>
              </w:rPr>
            </w:pPr>
          </w:p>
          <w:p w:rsidR="00200F70" w:rsidRPr="00813647" w:rsidRDefault="00FD1225" w:rsidP="005172A0">
            <w:pPr>
              <w:jc w:val="right"/>
              <w:rPr>
                <w:rFonts w:ascii="Tahoma" w:hAnsi="Tahoma" w:cs="Tahoma"/>
              </w:rPr>
            </w:pPr>
            <w:r>
              <w:rPr>
                <w:rFonts w:ascii="Tahoma" w:hAnsi="Tahoma" w:cs="Tahoma"/>
              </w:rPr>
              <w:t>136,</w:t>
            </w:r>
            <w:r w:rsidR="005172A0">
              <w:rPr>
                <w:rFonts w:ascii="Tahoma" w:hAnsi="Tahoma" w:cs="Tahoma"/>
              </w:rPr>
              <w:t>764</w:t>
            </w:r>
          </w:p>
        </w:tc>
        <w:tc>
          <w:tcPr>
            <w:tcW w:w="1710" w:type="dxa"/>
          </w:tcPr>
          <w:p w:rsidR="00200F70" w:rsidRPr="00813647" w:rsidRDefault="00200F70" w:rsidP="00200F70">
            <w:pPr>
              <w:ind w:right="400"/>
              <w:rPr>
                <w:rFonts w:ascii="Tahoma" w:hAnsi="Tahoma" w:cs="Tahoma"/>
              </w:rPr>
            </w:pPr>
          </w:p>
          <w:p w:rsidR="00200F70" w:rsidRPr="00813647" w:rsidRDefault="00200F70" w:rsidP="00200F70">
            <w:pPr>
              <w:jc w:val="right"/>
              <w:rPr>
                <w:rFonts w:ascii="Tahoma" w:hAnsi="Tahoma" w:cs="Tahoma"/>
              </w:rPr>
            </w:pPr>
          </w:p>
          <w:p w:rsidR="00200F70" w:rsidRPr="00813647" w:rsidRDefault="00923707" w:rsidP="00200F70">
            <w:pPr>
              <w:jc w:val="right"/>
              <w:rPr>
                <w:rFonts w:ascii="Tahoma" w:hAnsi="Tahoma" w:cs="Tahoma"/>
              </w:rPr>
            </w:pPr>
            <w:r>
              <w:rPr>
                <w:rFonts w:ascii="Tahoma" w:hAnsi="Tahoma" w:cs="Tahoma"/>
              </w:rPr>
              <w:t>136,779</w:t>
            </w:r>
          </w:p>
        </w:tc>
      </w:tr>
      <w:tr w:rsidR="00200F70" w:rsidRPr="00813647">
        <w:trPr>
          <w:trHeight w:val="279"/>
        </w:trPr>
        <w:tc>
          <w:tcPr>
            <w:tcW w:w="2340" w:type="dxa"/>
          </w:tcPr>
          <w:p w:rsidR="00200F70" w:rsidRPr="00813647" w:rsidRDefault="00200F70" w:rsidP="00200F70">
            <w:pPr>
              <w:jc w:val="both"/>
              <w:rPr>
                <w:rFonts w:ascii="Tahoma" w:hAnsi="Tahoma" w:cs="Tahoma"/>
              </w:rPr>
            </w:pPr>
            <w:r w:rsidRPr="00813647">
              <w:rPr>
                <w:rFonts w:ascii="Tahoma" w:hAnsi="Tahoma" w:cs="Tahoma"/>
              </w:rPr>
              <w:t>Basic EPS (sen)</w:t>
            </w:r>
          </w:p>
        </w:tc>
        <w:tc>
          <w:tcPr>
            <w:tcW w:w="1170" w:type="dxa"/>
          </w:tcPr>
          <w:p w:rsidR="00200F70" w:rsidRPr="00813647" w:rsidRDefault="00DD4579" w:rsidP="005172A0">
            <w:pPr>
              <w:jc w:val="right"/>
              <w:rPr>
                <w:rFonts w:ascii="Tahoma" w:hAnsi="Tahoma" w:cs="Tahoma"/>
              </w:rPr>
            </w:pPr>
            <w:r>
              <w:rPr>
                <w:rFonts w:ascii="Tahoma" w:hAnsi="Tahoma" w:cs="Tahoma"/>
              </w:rPr>
              <w:t>4.</w:t>
            </w:r>
            <w:r w:rsidR="005172A0">
              <w:rPr>
                <w:rFonts w:ascii="Tahoma" w:hAnsi="Tahoma" w:cs="Tahoma"/>
              </w:rPr>
              <w:t>47</w:t>
            </w:r>
          </w:p>
        </w:tc>
        <w:tc>
          <w:tcPr>
            <w:tcW w:w="1620" w:type="dxa"/>
          </w:tcPr>
          <w:p w:rsidR="00200F70" w:rsidRPr="00813647" w:rsidRDefault="00923707" w:rsidP="00200F70">
            <w:pPr>
              <w:jc w:val="right"/>
              <w:rPr>
                <w:rFonts w:ascii="Tahoma" w:hAnsi="Tahoma" w:cs="Tahoma"/>
              </w:rPr>
            </w:pPr>
            <w:r>
              <w:rPr>
                <w:rFonts w:ascii="Tahoma" w:hAnsi="Tahoma" w:cs="Tahoma"/>
              </w:rPr>
              <w:t>0.75</w:t>
            </w:r>
          </w:p>
        </w:tc>
        <w:tc>
          <w:tcPr>
            <w:tcW w:w="1530" w:type="dxa"/>
          </w:tcPr>
          <w:p w:rsidR="00200F70" w:rsidRPr="00813647" w:rsidRDefault="00DD4579" w:rsidP="00200F70">
            <w:pPr>
              <w:jc w:val="right"/>
              <w:rPr>
                <w:rFonts w:ascii="Tahoma" w:hAnsi="Tahoma" w:cs="Tahoma"/>
              </w:rPr>
            </w:pPr>
            <w:r>
              <w:rPr>
                <w:rFonts w:ascii="Tahoma" w:hAnsi="Tahoma" w:cs="Tahoma"/>
              </w:rPr>
              <w:t>8.45</w:t>
            </w:r>
          </w:p>
        </w:tc>
        <w:tc>
          <w:tcPr>
            <w:tcW w:w="1710" w:type="dxa"/>
          </w:tcPr>
          <w:p w:rsidR="00200F70" w:rsidRPr="00813647" w:rsidRDefault="00923707" w:rsidP="00200F70">
            <w:pPr>
              <w:jc w:val="right"/>
              <w:rPr>
                <w:rFonts w:ascii="Tahoma" w:hAnsi="Tahoma" w:cs="Tahoma"/>
              </w:rPr>
            </w:pPr>
            <w:r>
              <w:rPr>
                <w:rFonts w:ascii="Tahoma" w:hAnsi="Tahoma" w:cs="Tahoma"/>
              </w:rPr>
              <w:t>1.59</w:t>
            </w:r>
          </w:p>
        </w:tc>
      </w:tr>
    </w:tbl>
    <w:p w:rsidR="00072CBA" w:rsidRPr="00813647" w:rsidRDefault="00072CBA" w:rsidP="00571E0E">
      <w:pPr>
        <w:jc w:val="both"/>
        <w:rPr>
          <w:rFonts w:ascii="Tahoma" w:hAnsi="Tahoma" w:cs="Tahoma"/>
        </w:rPr>
      </w:pPr>
    </w:p>
    <w:p w:rsidR="00B46B8E" w:rsidRPr="00813647" w:rsidRDefault="00B46B8E" w:rsidP="00571E0E">
      <w:pPr>
        <w:jc w:val="both"/>
        <w:rPr>
          <w:rFonts w:ascii="Tahoma" w:hAnsi="Tahoma" w:cs="Tahoma"/>
        </w:rPr>
      </w:pPr>
    </w:p>
    <w:p w:rsidR="00312D0E" w:rsidRPr="00813647" w:rsidRDefault="00312D0E" w:rsidP="0007146A">
      <w:pPr>
        <w:pStyle w:val="Heading4"/>
        <w:rPr>
          <w:rFonts w:cs="Tahoma"/>
          <w:sz w:val="20"/>
        </w:rPr>
      </w:pPr>
      <w:r w:rsidRPr="00813647">
        <w:rPr>
          <w:rFonts w:cs="Tahoma"/>
          <w:sz w:val="20"/>
        </w:rPr>
        <w:t>B1</w:t>
      </w:r>
      <w:r w:rsidR="00347E03" w:rsidRPr="00813647">
        <w:rPr>
          <w:rFonts w:cs="Tahoma"/>
          <w:sz w:val="20"/>
        </w:rPr>
        <w:t>3</w:t>
      </w:r>
      <w:r w:rsidRPr="00813647">
        <w:rPr>
          <w:rFonts w:cs="Tahoma"/>
          <w:sz w:val="20"/>
        </w:rPr>
        <w:t>.</w:t>
      </w:r>
      <w:r w:rsidRPr="00813647">
        <w:rPr>
          <w:rFonts w:cs="Tahoma"/>
          <w:sz w:val="20"/>
        </w:rPr>
        <w:tab/>
      </w:r>
      <w:r w:rsidR="00BB14A8" w:rsidRPr="00813647">
        <w:rPr>
          <w:rFonts w:cs="Tahoma"/>
          <w:sz w:val="20"/>
        </w:rPr>
        <w:t>Authorisation for Issue</w:t>
      </w:r>
    </w:p>
    <w:p w:rsidR="005A4938" w:rsidRPr="00813647" w:rsidRDefault="005A4938" w:rsidP="00571E0E">
      <w:pPr>
        <w:jc w:val="both"/>
        <w:rPr>
          <w:rFonts w:ascii="Tahoma" w:hAnsi="Tahoma" w:cs="Tahoma"/>
          <w:b/>
        </w:rPr>
      </w:pPr>
    </w:p>
    <w:p w:rsidR="00BB14A8" w:rsidRPr="00EC540C" w:rsidRDefault="00BB14A8" w:rsidP="001C4C8D">
      <w:pPr>
        <w:ind w:left="720"/>
        <w:jc w:val="both"/>
        <w:rPr>
          <w:rFonts w:ascii="Tahoma" w:hAnsi="Tahoma" w:cs="Tahoma"/>
        </w:rPr>
      </w:pPr>
      <w:r w:rsidRPr="00813647">
        <w:rPr>
          <w:rFonts w:ascii="Tahoma" w:hAnsi="Tahoma" w:cs="Tahoma"/>
        </w:rPr>
        <w:t>The interim financial statements were authorised for issu</w:t>
      </w:r>
      <w:r w:rsidR="003753C9" w:rsidRPr="00813647">
        <w:rPr>
          <w:rFonts w:ascii="Tahoma" w:hAnsi="Tahoma" w:cs="Tahoma"/>
        </w:rPr>
        <w:t>ance</w:t>
      </w:r>
      <w:r w:rsidRPr="00813647">
        <w:rPr>
          <w:rFonts w:ascii="Tahoma" w:hAnsi="Tahoma" w:cs="Tahoma"/>
        </w:rPr>
        <w:t xml:space="preserve"> by the Board of Directors in accordance with a resolution of the Board of Directors.</w:t>
      </w:r>
      <w:r w:rsidR="008A694C" w:rsidRPr="00EC540C">
        <w:rPr>
          <w:rFonts w:ascii="Tahoma" w:hAnsi="Tahoma" w:cs="Tahoma"/>
        </w:rPr>
        <w:tab/>
      </w:r>
    </w:p>
    <w:sectPr w:rsidR="00BB14A8" w:rsidRPr="00EC540C" w:rsidSect="00027938">
      <w:headerReference w:type="default" r:id="rId8"/>
      <w:footerReference w:type="even" r:id="rId9"/>
      <w:footerReference w:type="default" r:id="rId10"/>
      <w:pgSz w:w="11909" w:h="16834" w:code="9"/>
      <w:pgMar w:top="1224" w:right="1440" w:bottom="1152" w:left="1440" w:header="720" w:footer="720" w:gutter="0"/>
      <w:pgBorders w:offsetFrom="page">
        <w:top w:val="dotted" w:sz="4" w:space="24" w:color="auto"/>
        <w:left w:val="dotted" w:sz="4" w:space="24" w:color="auto"/>
        <w:bottom w:val="dotted" w:sz="4" w:space="24" w:color="auto"/>
        <w:right w:val="dotted"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04D" w:rsidRDefault="0036304D">
      <w:r>
        <w:separator/>
      </w:r>
    </w:p>
  </w:endnote>
  <w:endnote w:type="continuationSeparator" w:id="1">
    <w:p w:rsidR="0036304D" w:rsidRDefault="00363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56" w:rsidRDefault="00F83B6D">
    <w:pPr>
      <w:pStyle w:val="Footer"/>
      <w:framePr w:wrap="around" w:vAnchor="text" w:hAnchor="margin" w:xAlign="right" w:y="1"/>
      <w:rPr>
        <w:rStyle w:val="PageNumber"/>
      </w:rPr>
    </w:pPr>
    <w:r>
      <w:rPr>
        <w:rStyle w:val="PageNumber"/>
      </w:rPr>
      <w:fldChar w:fldCharType="begin"/>
    </w:r>
    <w:r w:rsidR="00103856">
      <w:rPr>
        <w:rStyle w:val="PageNumber"/>
      </w:rPr>
      <w:instrText xml:space="preserve">PAGE  </w:instrText>
    </w:r>
    <w:r>
      <w:rPr>
        <w:rStyle w:val="PageNumber"/>
      </w:rPr>
      <w:fldChar w:fldCharType="separate"/>
    </w:r>
    <w:r w:rsidR="00103856">
      <w:rPr>
        <w:rStyle w:val="PageNumber"/>
        <w:noProof/>
      </w:rPr>
      <w:t>1</w:t>
    </w:r>
    <w:r>
      <w:rPr>
        <w:rStyle w:val="PageNumber"/>
      </w:rPr>
      <w:fldChar w:fldCharType="end"/>
    </w:r>
  </w:p>
  <w:p w:rsidR="00103856" w:rsidRDefault="001038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56" w:rsidRDefault="00F83B6D">
    <w:pPr>
      <w:pStyle w:val="Footer"/>
      <w:framePr w:wrap="around" w:vAnchor="text" w:hAnchor="margin" w:xAlign="right" w:y="1"/>
      <w:rPr>
        <w:rStyle w:val="PageNumber"/>
        <w:rFonts w:ascii="Tahoma" w:hAnsi="Tahoma"/>
        <w:sz w:val="18"/>
      </w:rPr>
    </w:pPr>
    <w:r>
      <w:rPr>
        <w:rStyle w:val="PageNumber"/>
        <w:rFonts w:ascii="Tahoma" w:hAnsi="Tahoma"/>
        <w:sz w:val="18"/>
      </w:rPr>
      <w:fldChar w:fldCharType="begin"/>
    </w:r>
    <w:r w:rsidR="00103856">
      <w:rPr>
        <w:rStyle w:val="PageNumber"/>
        <w:rFonts w:ascii="Tahoma" w:hAnsi="Tahoma"/>
        <w:sz w:val="18"/>
      </w:rPr>
      <w:instrText xml:space="preserve">PAGE  </w:instrText>
    </w:r>
    <w:r>
      <w:rPr>
        <w:rStyle w:val="PageNumber"/>
        <w:rFonts w:ascii="Tahoma" w:hAnsi="Tahoma"/>
        <w:sz w:val="18"/>
      </w:rPr>
      <w:fldChar w:fldCharType="separate"/>
    </w:r>
    <w:r w:rsidR="00A24367">
      <w:rPr>
        <w:rStyle w:val="PageNumber"/>
        <w:rFonts w:ascii="Tahoma" w:hAnsi="Tahoma"/>
        <w:noProof/>
        <w:sz w:val="18"/>
      </w:rPr>
      <w:t>4</w:t>
    </w:r>
    <w:r>
      <w:rPr>
        <w:rStyle w:val="PageNumber"/>
        <w:rFonts w:ascii="Tahoma" w:hAnsi="Tahoma"/>
        <w:sz w:val="18"/>
      </w:rPr>
      <w:fldChar w:fldCharType="end"/>
    </w:r>
  </w:p>
  <w:p w:rsidR="00103856" w:rsidRDefault="001038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04D" w:rsidRDefault="0036304D">
      <w:r>
        <w:separator/>
      </w:r>
    </w:p>
  </w:footnote>
  <w:footnote w:type="continuationSeparator" w:id="1">
    <w:p w:rsidR="0036304D" w:rsidRDefault="00363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56" w:rsidRPr="00EC540C" w:rsidRDefault="00103856">
    <w:pPr>
      <w:jc w:val="center"/>
      <w:rPr>
        <w:rFonts w:ascii="Tahoma" w:hAnsi="Tahoma" w:cs="Tahoma"/>
        <w:sz w:val="22"/>
      </w:rPr>
    </w:pPr>
    <w:r w:rsidRPr="00EC540C">
      <w:rPr>
        <w:rFonts w:ascii="Tahoma" w:hAnsi="Tahoma" w:cs="Tahoma"/>
        <w:b/>
        <w:sz w:val="22"/>
      </w:rPr>
      <w:t>JAYCORP BERHAD</w:t>
    </w:r>
    <w:r w:rsidRPr="00EC540C">
      <w:rPr>
        <w:rFonts w:ascii="Tahoma" w:hAnsi="Tahoma" w:cs="Tahoma"/>
        <w:sz w:val="22"/>
      </w:rPr>
      <w:t xml:space="preserve"> (459789-X)</w:t>
    </w:r>
  </w:p>
  <w:p w:rsidR="00103856" w:rsidRPr="00EC540C" w:rsidRDefault="00103856">
    <w:pPr>
      <w:jc w:val="center"/>
      <w:rPr>
        <w:rFonts w:ascii="Tahoma" w:hAnsi="Tahoma" w:cs="Tahoma"/>
      </w:rPr>
    </w:pPr>
    <w:r w:rsidRPr="00EC540C">
      <w:rPr>
        <w:rFonts w:ascii="Tahoma" w:hAnsi="Tahoma" w:cs="Tahoma"/>
      </w:rPr>
      <w:t>NOTES TO QUARTERLY REPORT ON CONSOLIDATED RESULTS</w:t>
    </w:r>
  </w:p>
  <w:p w:rsidR="00103856" w:rsidRPr="00EC540C" w:rsidRDefault="00103856" w:rsidP="00E26FE5">
    <w:pPr>
      <w:pBdr>
        <w:bottom w:val="single" w:sz="4" w:space="1" w:color="auto"/>
      </w:pBdr>
      <w:jc w:val="center"/>
      <w:rPr>
        <w:rFonts w:ascii="Tahoma" w:hAnsi="Tahoma" w:cs="Tahoma"/>
      </w:rPr>
    </w:pPr>
    <w:r w:rsidRPr="00EC540C">
      <w:rPr>
        <w:rFonts w:ascii="Tahoma" w:hAnsi="Tahoma" w:cs="Tahoma"/>
      </w:rPr>
      <w:t xml:space="preserve">FOR THE </w:t>
    </w:r>
    <w:r w:rsidR="007F37AF">
      <w:rPr>
        <w:rFonts w:ascii="Tahoma" w:hAnsi="Tahoma" w:cs="Tahoma"/>
      </w:rPr>
      <w:t xml:space="preserve">SECOND </w:t>
    </w:r>
    <w:r w:rsidRPr="00EC540C">
      <w:rPr>
        <w:rFonts w:ascii="Tahoma" w:hAnsi="Tahoma" w:cs="Tahoma"/>
      </w:rPr>
      <w:t xml:space="preserve">FINANCIAL QUARTER ENDED </w:t>
    </w:r>
    <w:r w:rsidR="007F37AF">
      <w:rPr>
        <w:rFonts w:ascii="Tahoma" w:hAnsi="Tahoma" w:cs="Tahoma"/>
      </w:rPr>
      <w:t xml:space="preserve">31 JANUARY </w:t>
    </w:r>
    <w:r w:rsidRPr="00EC540C">
      <w:rPr>
        <w:rFonts w:ascii="Tahoma" w:hAnsi="Tahoma" w:cs="Tahoma"/>
      </w:rPr>
      <w:t>201</w:t>
    </w:r>
    <w:r w:rsidR="007F37AF">
      <w:rPr>
        <w:rFonts w:ascii="Tahoma" w:hAnsi="Tahoma" w:cs="Tahoma"/>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DA9"/>
    <w:multiLevelType w:val="multilevel"/>
    <w:tmpl w:val="0409001D"/>
    <w:styleLink w:val="Style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B73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1E3AEC"/>
    <w:multiLevelType w:val="hybridMultilevel"/>
    <w:tmpl w:val="CD8CF7D8"/>
    <w:lvl w:ilvl="0" w:tplc="03BCA00E">
      <w:start w:val="494"/>
      <w:numFmt w:val="bullet"/>
      <w:lvlText w:val="-"/>
      <w:lvlJc w:val="left"/>
      <w:pPr>
        <w:tabs>
          <w:tab w:val="num" w:pos="1129"/>
        </w:tabs>
        <w:ind w:left="1129" w:hanging="360"/>
      </w:pPr>
      <w:rPr>
        <w:rFonts w:ascii="Tahoma" w:eastAsia="Times New Roman" w:hAnsi="Tahoma" w:cs="Tahoma" w:hint="default"/>
      </w:rPr>
    </w:lvl>
    <w:lvl w:ilvl="1" w:tplc="04090003" w:tentative="1">
      <w:start w:val="1"/>
      <w:numFmt w:val="bullet"/>
      <w:lvlText w:val="o"/>
      <w:lvlJc w:val="left"/>
      <w:pPr>
        <w:tabs>
          <w:tab w:val="num" w:pos="1849"/>
        </w:tabs>
        <w:ind w:left="1849" w:hanging="360"/>
      </w:pPr>
      <w:rPr>
        <w:rFonts w:ascii="Courier New" w:hAnsi="Courier New" w:cs="Courier New" w:hint="default"/>
      </w:rPr>
    </w:lvl>
    <w:lvl w:ilvl="2" w:tplc="04090005" w:tentative="1">
      <w:start w:val="1"/>
      <w:numFmt w:val="bullet"/>
      <w:lvlText w:val=""/>
      <w:lvlJc w:val="left"/>
      <w:pPr>
        <w:tabs>
          <w:tab w:val="num" w:pos="2569"/>
        </w:tabs>
        <w:ind w:left="2569" w:hanging="360"/>
      </w:pPr>
      <w:rPr>
        <w:rFonts w:ascii="Wingdings" w:hAnsi="Wingdings" w:hint="default"/>
      </w:rPr>
    </w:lvl>
    <w:lvl w:ilvl="3" w:tplc="04090001" w:tentative="1">
      <w:start w:val="1"/>
      <w:numFmt w:val="bullet"/>
      <w:lvlText w:val=""/>
      <w:lvlJc w:val="left"/>
      <w:pPr>
        <w:tabs>
          <w:tab w:val="num" w:pos="3289"/>
        </w:tabs>
        <w:ind w:left="3289" w:hanging="360"/>
      </w:pPr>
      <w:rPr>
        <w:rFonts w:ascii="Symbol" w:hAnsi="Symbol" w:hint="default"/>
      </w:rPr>
    </w:lvl>
    <w:lvl w:ilvl="4" w:tplc="04090003" w:tentative="1">
      <w:start w:val="1"/>
      <w:numFmt w:val="bullet"/>
      <w:lvlText w:val="o"/>
      <w:lvlJc w:val="left"/>
      <w:pPr>
        <w:tabs>
          <w:tab w:val="num" w:pos="4009"/>
        </w:tabs>
        <w:ind w:left="4009" w:hanging="360"/>
      </w:pPr>
      <w:rPr>
        <w:rFonts w:ascii="Courier New" w:hAnsi="Courier New" w:cs="Courier New" w:hint="default"/>
      </w:rPr>
    </w:lvl>
    <w:lvl w:ilvl="5" w:tplc="04090005" w:tentative="1">
      <w:start w:val="1"/>
      <w:numFmt w:val="bullet"/>
      <w:lvlText w:val=""/>
      <w:lvlJc w:val="left"/>
      <w:pPr>
        <w:tabs>
          <w:tab w:val="num" w:pos="4729"/>
        </w:tabs>
        <w:ind w:left="4729" w:hanging="360"/>
      </w:pPr>
      <w:rPr>
        <w:rFonts w:ascii="Wingdings" w:hAnsi="Wingdings" w:hint="default"/>
      </w:rPr>
    </w:lvl>
    <w:lvl w:ilvl="6" w:tplc="04090001" w:tentative="1">
      <w:start w:val="1"/>
      <w:numFmt w:val="bullet"/>
      <w:lvlText w:val=""/>
      <w:lvlJc w:val="left"/>
      <w:pPr>
        <w:tabs>
          <w:tab w:val="num" w:pos="5449"/>
        </w:tabs>
        <w:ind w:left="5449" w:hanging="360"/>
      </w:pPr>
      <w:rPr>
        <w:rFonts w:ascii="Symbol" w:hAnsi="Symbol" w:hint="default"/>
      </w:rPr>
    </w:lvl>
    <w:lvl w:ilvl="7" w:tplc="04090003" w:tentative="1">
      <w:start w:val="1"/>
      <w:numFmt w:val="bullet"/>
      <w:lvlText w:val="o"/>
      <w:lvlJc w:val="left"/>
      <w:pPr>
        <w:tabs>
          <w:tab w:val="num" w:pos="6169"/>
        </w:tabs>
        <w:ind w:left="6169" w:hanging="360"/>
      </w:pPr>
      <w:rPr>
        <w:rFonts w:ascii="Courier New" w:hAnsi="Courier New" w:cs="Courier New" w:hint="default"/>
      </w:rPr>
    </w:lvl>
    <w:lvl w:ilvl="8" w:tplc="04090005" w:tentative="1">
      <w:start w:val="1"/>
      <w:numFmt w:val="bullet"/>
      <w:lvlText w:val=""/>
      <w:lvlJc w:val="left"/>
      <w:pPr>
        <w:tabs>
          <w:tab w:val="num" w:pos="6889"/>
        </w:tabs>
        <w:ind w:left="6889" w:hanging="360"/>
      </w:pPr>
      <w:rPr>
        <w:rFonts w:ascii="Wingdings" w:hAnsi="Wingdings" w:hint="default"/>
      </w:rPr>
    </w:lvl>
  </w:abstractNum>
  <w:abstractNum w:abstractNumId="3">
    <w:nsid w:val="13FB4B44"/>
    <w:multiLevelType w:val="multilevel"/>
    <w:tmpl w:val="4830F128"/>
    <w:styleLink w:val="Style1"/>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F7A1EF0"/>
    <w:multiLevelType w:val="hybridMultilevel"/>
    <w:tmpl w:val="40F0923C"/>
    <w:lvl w:ilvl="0" w:tplc="9BE29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523297"/>
    <w:multiLevelType w:val="hybridMultilevel"/>
    <w:tmpl w:val="3C6C443A"/>
    <w:lvl w:ilvl="0" w:tplc="DD56C3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8E3F80"/>
    <w:multiLevelType w:val="singleLevel"/>
    <w:tmpl w:val="99AE5292"/>
    <w:lvl w:ilvl="0">
      <w:start w:val="1"/>
      <w:numFmt w:val="lowerLetter"/>
      <w:lvlText w:val="%1."/>
      <w:lvlJc w:val="left"/>
      <w:pPr>
        <w:tabs>
          <w:tab w:val="num" w:pos="1440"/>
        </w:tabs>
        <w:ind w:left="1440" w:hanging="720"/>
      </w:pPr>
      <w:rPr>
        <w:rFonts w:hint="default"/>
      </w:rPr>
    </w:lvl>
  </w:abstractNum>
  <w:abstractNum w:abstractNumId="7">
    <w:nsid w:val="54E9357D"/>
    <w:multiLevelType w:val="hybridMultilevel"/>
    <w:tmpl w:val="738C2E92"/>
    <w:lvl w:ilvl="0" w:tplc="89C8335A">
      <w:start w:val="45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B7E13"/>
    <w:multiLevelType w:val="hybridMultilevel"/>
    <w:tmpl w:val="CF9C1E44"/>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6B3778A"/>
    <w:multiLevelType w:val="multilevel"/>
    <w:tmpl w:val="724EB34E"/>
    <w:styleLink w:val="Style3"/>
    <w:lvl w:ilvl="0">
      <w:start w:val="2"/>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0E2924"/>
    <w:multiLevelType w:val="hybridMultilevel"/>
    <w:tmpl w:val="F2181942"/>
    <w:lvl w:ilvl="0" w:tplc="ACE454F6">
      <w:start w:val="2"/>
      <w:numFmt w:val="decimal"/>
      <w:lvlText w:val="%1)"/>
      <w:lvlJc w:val="left"/>
      <w:pPr>
        <w:tabs>
          <w:tab w:val="num" w:pos="1080"/>
        </w:tabs>
        <w:ind w:left="1080" w:hanging="360"/>
      </w:pPr>
      <w:rPr>
        <w:rFonts w:hint="default"/>
        <w:color w:val="00000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3"/>
  </w:num>
  <w:num w:numId="4">
    <w:abstractNumId w:val="0"/>
  </w:num>
  <w:num w:numId="5">
    <w:abstractNumId w:val="9"/>
  </w:num>
  <w:num w:numId="6">
    <w:abstractNumId w:val="8"/>
  </w:num>
  <w:num w:numId="7">
    <w:abstractNumId w:val="2"/>
  </w:num>
  <w:num w:numId="8">
    <w:abstractNumId w:val="5"/>
  </w:num>
  <w:num w:numId="9">
    <w:abstractNumId w:val="10"/>
  </w:num>
  <w:num w:numId="10">
    <w:abstractNumId w:val="7"/>
  </w:num>
  <w:num w:numId="1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26D1D"/>
    <w:rsid w:val="000000FA"/>
    <w:rsid w:val="000005E5"/>
    <w:rsid w:val="00000802"/>
    <w:rsid w:val="00000D2A"/>
    <w:rsid w:val="00000D78"/>
    <w:rsid w:val="00001D41"/>
    <w:rsid w:val="000035ED"/>
    <w:rsid w:val="000043E1"/>
    <w:rsid w:val="0000462D"/>
    <w:rsid w:val="000056FD"/>
    <w:rsid w:val="00005D81"/>
    <w:rsid w:val="000113E3"/>
    <w:rsid w:val="000125D3"/>
    <w:rsid w:val="00014050"/>
    <w:rsid w:val="0001420F"/>
    <w:rsid w:val="00016CF1"/>
    <w:rsid w:val="000172DE"/>
    <w:rsid w:val="000209A3"/>
    <w:rsid w:val="00021DBD"/>
    <w:rsid w:val="000244DA"/>
    <w:rsid w:val="00025046"/>
    <w:rsid w:val="000256FB"/>
    <w:rsid w:val="000259AD"/>
    <w:rsid w:val="00025AA2"/>
    <w:rsid w:val="00026486"/>
    <w:rsid w:val="00027938"/>
    <w:rsid w:val="00027E14"/>
    <w:rsid w:val="0003016D"/>
    <w:rsid w:val="0003170F"/>
    <w:rsid w:val="00032D42"/>
    <w:rsid w:val="00032FC0"/>
    <w:rsid w:val="000334A8"/>
    <w:rsid w:val="00034AE8"/>
    <w:rsid w:val="00034EF9"/>
    <w:rsid w:val="00036532"/>
    <w:rsid w:val="00036731"/>
    <w:rsid w:val="00036A8A"/>
    <w:rsid w:val="00036CF1"/>
    <w:rsid w:val="000371DF"/>
    <w:rsid w:val="00040BB6"/>
    <w:rsid w:val="00040EE8"/>
    <w:rsid w:val="00041731"/>
    <w:rsid w:val="0004184E"/>
    <w:rsid w:val="00043BB8"/>
    <w:rsid w:val="00044BE2"/>
    <w:rsid w:val="00047638"/>
    <w:rsid w:val="000478A9"/>
    <w:rsid w:val="000511F9"/>
    <w:rsid w:val="00052776"/>
    <w:rsid w:val="0005479F"/>
    <w:rsid w:val="00054F8D"/>
    <w:rsid w:val="000552CC"/>
    <w:rsid w:val="000555D9"/>
    <w:rsid w:val="000559CC"/>
    <w:rsid w:val="00055A43"/>
    <w:rsid w:val="000564D5"/>
    <w:rsid w:val="00056569"/>
    <w:rsid w:val="000572F7"/>
    <w:rsid w:val="000601E1"/>
    <w:rsid w:val="00061243"/>
    <w:rsid w:val="00061810"/>
    <w:rsid w:val="00064042"/>
    <w:rsid w:val="000645BD"/>
    <w:rsid w:val="0006677C"/>
    <w:rsid w:val="000671A6"/>
    <w:rsid w:val="0007059D"/>
    <w:rsid w:val="00070CCC"/>
    <w:rsid w:val="0007146A"/>
    <w:rsid w:val="00071781"/>
    <w:rsid w:val="00071A4E"/>
    <w:rsid w:val="00072CBA"/>
    <w:rsid w:val="00074DE8"/>
    <w:rsid w:val="0007512E"/>
    <w:rsid w:val="00075C23"/>
    <w:rsid w:val="000777B8"/>
    <w:rsid w:val="00082186"/>
    <w:rsid w:val="00083D08"/>
    <w:rsid w:val="00084967"/>
    <w:rsid w:val="000853E0"/>
    <w:rsid w:val="00085AB8"/>
    <w:rsid w:val="00087673"/>
    <w:rsid w:val="000910AF"/>
    <w:rsid w:val="0009135C"/>
    <w:rsid w:val="00091610"/>
    <w:rsid w:val="00092ADF"/>
    <w:rsid w:val="000946CC"/>
    <w:rsid w:val="00094957"/>
    <w:rsid w:val="000952A9"/>
    <w:rsid w:val="0009561C"/>
    <w:rsid w:val="000971FA"/>
    <w:rsid w:val="000A2A3E"/>
    <w:rsid w:val="000A3B3B"/>
    <w:rsid w:val="000A3CEC"/>
    <w:rsid w:val="000A4169"/>
    <w:rsid w:val="000A51B0"/>
    <w:rsid w:val="000A7943"/>
    <w:rsid w:val="000B0501"/>
    <w:rsid w:val="000B08BE"/>
    <w:rsid w:val="000B0B80"/>
    <w:rsid w:val="000B10CA"/>
    <w:rsid w:val="000B3282"/>
    <w:rsid w:val="000B68E4"/>
    <w:rsid w:val="000B76D3"/>
    <w:rsid w:val="000B78C1"/>
    <w:rsid w:val="000B7E0B"/>
    <w:rsid w:val="000C0640"/>
    <w:rsid w:val="000C102F"/>
    <w:rsid w:val="000C2E47"/>
    <w:rsid w:val="000C3739"/>
    <w:rsid w:val="000C3833"/>
    <w:rsid w:val="000C446A"/>
    <w:rsid w:val="000C5605"/>
    <w:rsid w:val="000C647E"/>
    <w:rsid w:val="000C696A"/>
    <w:rsid w:val="000C6D5F"/>
    <w:rsid w:val="000C6EF8"/>
    <w:rsid w:val="000C70D1"/>
    <w:rsid w:val="000C7AEB"/>
    <w:rsid w:val="000D1B50"/>
    <w:rsid w:val="000D2303"/>
    <w:rsid w:val="000D308A"/>
    <w:rsid w:val="000D33B3"/>
    <w:rsid w:val="000D355F"/>
    <w:rsid w:val="000D4B6D"/>
    <w:rsid w:val="000D5827"/>
    <w:rsid w:val="000D6937"/>
    <w:rsid w:val="000E06AA"/>
    <w:rsid w:val="000E0F01"/>
    <w:rsid w:val="000E144E"/>
    <w:rsid w:val="000E2E7A"/>
    <w:rsid w:val="000E3556"/>
    <w:rsid w:val="000E4321"/>
    <w:rsid w:val="000E4367"/>
    <w:rsid w:val="000E4EBC"/>
    <w:rsid w:val="000E613C"/>
    <w:rsid w:val="000E766E"/>
    <w:rsid w:val="000F1AAF"/>
    <w:rsid w:val="000F1E1D"/>
    <w:rsid w:val="000F2623"/>
    <w:rsid w:val="000F2D6B"/>
    <w:rsid w:val="000F35E0"/>
    <w:rsid w:val="000F45F7"/>
    <w:rsid w:val="000F54E7"/>
    <w:rsid w:val="000F57FE"/>
    <w:rsid w:val="000F77F3"/>
    <w:rsid w:val="001019FB"/>
    <w:rsid w:val="00101D91"/>
    <w:rsid w:val="00101F03"/>
    <w:rsid w:val="00103856"/>
    <w:rsid w:val="001054E7"/>
    <w:rsid w:val="00105AD6"/>
    <w:rsid w:val="0010612D"/>
    <w:rsid w:val="0010727B"/>
    <w:rsid w:val="001109E2"/>
    <w:rsid w:val="00112BBD"/>
    <w:rsid w:val="00114218"/>
    <w:rsid w:val="00114428"/>
    <w:rsid w:val="00114530"/>
    <w:rsid w:val="0011461B"/>
    <w:rsid w:val="00114D42"/>
    <w:rsid w:val="0011750E"/>
    <w:rsid w:val="00117737"/>
    <w:rsid w:val="00120E3E"/>
    <w:rsid w:val="00122673"/>
    <w:rsid w:val="00122842"/>
    <w:rsid w:val="0012604A"/>
    <w:rsid w:val="0012622C"/>
    <w:rsid w:val="00126986"/>
    <w:rsid w:val="0012783E"/>
    <w:rsid w:val="00130927"/>
    <w:rsid w:val="001322FE"/>
    <w:rsid w:val="001324A0"/>
    <w:rsid w:val="001333BE"/>
    <w:rsid w:val="00134028"/>
    <w:rsid w:val="00134B69"/>
    <w:rsid w:val="00135B91"/>
    <w:rsid w:val="00137B13"/>
    <w:rsid w:val="0014044B"/>
    <w:rsid w:val="00141853"/>
    <w:rsid w:val="001424CC"/>
    <w:rsid w:val="00143DF5"/>
    <w:rsid w:val="00144206"/>
    <w:rsid w:val="00144497"/>
    <w:rsid w:val="001447C1"/>
    <w:rsid w:val="00145095"/>
    <w:rsid w:val="001452A2"/>
    <w:rsid w:val="00145394"/>
    <w:rsid w:val="001501E3"/>
    <w:rsid w:val="00150383"/>
    <w:rsid w:val="001549C4"/>
    <w:rsid w:val="00155B11"/>
    <w:rsid w:val="00155F96"/>
    <w:rsid w:val="001562C6"/>
    <w:rsid w:val="0015683B"/>
    <w:rsid w:val="00160072"/>
    <w:rsid w:val="0016147D"/>
    <w:rsid w:val="00164524"/>
    <w:rsid w:val="00165030"/>
    <w:rsid w:val="001650D9"/>
    <w:rsid w:val="001669F7"/>
    <w:rsid w:val="00166E3C"/>
    <w:rsid w:val="00170059"/>
    <w:rsid w:val="00171E2E"/>
    <w:rsid w:val="001741C4"/>
    <w:rsid w:val="00176FC4"/>
    <w:rsid w:val="001823AC"/>
    <w:rsid w:val="001825F2"/>
    <w:rsid w:val="00182E3E"/>
    <w:rsid w:val="00183D22"/>
    <w:rsid w:val="001841EF"/>
    <w:rsid w:val="00184994"/>
    <w:rsid w:val="00184C91"/>
    <w:rsid w:val="001851D9"/>
    <w:rsid w:val="001853B3"/>
    <w:rsid w:val="001860DD"/>
    <w:rsid w:val="00186A5E"/>
    <w:rsid w:val="001877D8"/>
    <w:rsid w:val="0019038C"/>
    <w:rsid w:val="00191640"/>
    <w:rsid w:val="00191945"/>
    <w:rsid w:val="001923B9"/>
    <w:rsid w:val="00192570"/>
    <w:rsid w:val="00193156"/>
    <w:rsid w:val="00193617"/>
    <w:rsid w:val="001945C8"/>
    <w:rsid w:val="00194BAB"/>
    <w:rsid w:val="0019757D"/>
    <w:rsid w:val="001A00DF"/>
    <w:rsid w:val="001A148D"/>
    <w:rsid w:val="001A1ABD"/>
    <w:rsid w:val="001A26EC"/>
    <w:rsid w:val="001A47EB"/>
    <w:rsid w:val="001A4A60"/>
    <w:rsid w:val="001A4C64"/>
    <w:rsid w:val="001A5194"/>
    <w:rsid w:val="001A5371"/>
    <w:rsid w:val="001A5539"/>
    <w:rsid w:val="001A6792"/>
    <w:rsid w:val="001A745B"/>
    <w:rsid w:val="001B1370"/>
    <w:rsid w:val="001B2598"/>
    <w:rsid w:val="001B2A09"/>
    <w:rsid w:val="001B37C5"/>
    <w:rsid w:val="001B37FB"/>
    <w:rsid w:val="001B3A6F"/>
    <w:rsid w:val="001B4CF6"/>
    <w:rsid w:val="001B6341"/>
    <w:rsid w:val="001B6967"/>
    <w:rsid w:val="001B718B"/>
    <w:rsid w:val="001B7E17"/>
    <w:rsid w:val="001C1E2C"/>
    <w:rsid w:val="001C241E"/>
    <w:rsid w:val="001C439D"/>
    <w:rsid w:val="001C4BCB"/>
    <w:rsid w:val="001C4C8D"/>
    <w:rsid w:val="001C57A6"/>
    <w:rsid w:val="001C671F"/>
    <w:rsid w:val="001C6C40"/>
    <w:rsid w:val="001C7BB9"/>
    <w:rsid w:val="001D0803"/>
    <w:rsid w:val="001D0C0C"/>
    <w:rsid w:val="001D3102"/>
    <w:rsid w:val="001D3466"/>
    <w:rsid w:val="001D54AD"/>
    <w:rsid w:val="001D556D"/>
    <w:rsid w:val="001D5802"/>
    <w:rsid w:val="001D5A61"/>
    <w:rsid w:val="001D753E"/>
    <w:rsid w:val="001D7A3F"/>
    <w:rsid w:val="001E02BB"/>
    <w:rsid w:val="001E03BE"/>
    <w:rsid w:val="001E0DAE"/>
    <w:rsid w:val="001E0F0A"/>
    <w:rsid w:val="001E1401"/>
    <w:rsid w:val="001E1A8A"/>
    <w:rsid w:val="001E2680"/>
    <w:rsid w:val="001E3665"/>
    <w:rsid w:val="001E45A6"/>
    <w:rsid w:val="001E689D"/>
    <w:rsid w:val="001E7281"/>
    <w:rsid w:val="001E7E26"/>
    <w:rsid w:val="001F2000"/>
    <w:rsid w:val="001F3722"/>
    <w:rsid w:val="001F4161"/>
    <w:rsid w:val="001F4316"/>
    <w:rsid w:val="001F47FA"/>
    <w:rsid w:val="001F496F"/>
    <w:rsid w:val="001F4F14"/>
    <w:rsid w:val="001F51E6"/>
    <w:rsid w:val="001F522E"/>
    <w:rsid w:val="001F6B2F"/>
    <w:rsid w:val="001F7077"/>
    <w:rsid w:val="001F7195"/>
    <w:rsid w:val="00200F70"/>
    <w:rsid w:val="00201C96"/>
    <w:rsid w:val="00202BAF"/>
    <w:rsid w:val="00206991"/>
    <w:rsid w:val="00207B1F"/>
    <w:rsid w:val="00207BF7"/>
    <w:rsid w:val="00212EC5"/>
    <w:rsid w:val="0021353E"/>
    <w:rsid w:val="002154CA"/>
    <w:rsid w:val="002159DC"/>
    <w:rsid w:val="00215D51"/>
    <w:rsid w:val="00216333"/>
    <w:rsid w:val="0021675F"/>
    <w:rsid w:val="00216EB6"/>
    <w:rsid w:val="0021747A"/>
    <w:rsid w:val="00217598"/>
    <w:rsid w:val="002175A8"/>
    <w:rsid w:val="002200FE"/>
    <w:rsid w:val="0022020E"/>
    <w:rsid w:val="0022023C"/>
    <w:rsid w:val="00220656"/>
    <w:rsid w:val="0022359E"/>
    <w:rsid w:val="0022404D"/>
    <w:rsid w:val="00224C7E"/>
    <w:rsid w:val="00225ABF"/>
    <w:rsid w:val="002260E4"/>
    <w:rsid w:val="00226445"/>
    <w:rsid w:val="0022791C"/>
    <w:rsid w:val="002315AC"/>
    <w:rsid w:val="00231EFB"/>
    <w:rsid w:val="00232D64"/>
    <w:rsid w:val="0023349C"/>
    <w:rsid w:val="00233ADF"/>
    <w:rsid w:val="002345B4"/>
    <w:rsid w:val="00234E3D"/>
    <w:rsid w:val="00234E6D"/>
    <w:rsid w:val="002355AC"/>
    <w:rsid w:val="002361F1"/>
    <w:rsid w:val="002367CF"/>
    <w:rsid w:val="0024068A"/>
    <w:rsid w:val="002417CB"/>
    <w:rsid w:val="0024228B"/>
    <w:rsid w:val="002428C3"/>
    <w:rsid w:val="0024506F"/>
    <w:rsid w:val="0024670B"/>
    <w:rsid w:val="00246D47"/>
    <w:rsid w:val="00247ED3"/>
    <w:rsid w:val="0025362A"/>
    <w:rsid w:val="00253B17"/>
    <w:rsid w:val="0025453E"/>
    <w:rsid w:val="00254C88"/>
    <w:rsid w:val="00255B14"/>
    <w:rsid w:val="002577E4"/>
    <w:rsid w:val="00260D7B"/>
    <w:rsid w:val="00262E37"/>
    <w:rsid w:val="002637A1"/>
    <w:rsid w:val="00263AC7"/>
    <w:rsid w:val="0026417E"/>
    <w:rsid w:val="00265758"/>
    <w:rsid w:val="00265B24"/>
    <w:rsid w:val="0026607A"/>
    <w:rsid w:val="00266F0A"/>
    <w:rsid w:val="0026733F"/>
    <w:rsid w:val="0026782F"/>
    <w:rsid w:val="00270FA3"/>
    <w:rsid w:val="002714F1"/>
    <w:rsid w:val="00272B76"/>
    <w:rsid w:val="00272C9D"/>
    <w:rsid w:val="0027324B"/>
    <w:rsid w:val="0027361A"/>
    <w:rsid w:val="00273B3D"/>
    <w:rsid w:val="00274BC8"/>
    <w:rsid w:val="00274E8F"/>
    <w:rsid w:val="00274F67"/>
    <w:rsid w:val="00275005"/>
    <w:rsid w:val="002752C9"/>
    <w:rsid w:val="0027540B"/>
    <w:rsid w:val="00276D07"/>
    <w:rsid w:val="00277A26"/>
    <w:rsid w:val="002808E0"/>
    <w:rsid w:val="00281AB5"/>
    <w:rsid w:val="0028274B"/>
    <w:rsid w:val="002852CB"/>
    <w:rsid w:val="002855A0"/>
    <w:rsid w:val="00286363"/>
    <w:rsid w:val="00290929"/>
    <w:rsid w:val="00290C4B"/>
    <w:rsid w:val="00293A04"/>
    <w:rsid w:val="00293D07"/>
    <w:rsid w:val="00294A03"/>
    <w:rsid w:val="002972C8"/>
    <w:rsid w:val="002972F1"/>
    <w:rsid w:val="002A04B7"/>
    <w:rsid w:val="002A10E6"/>
    <w:rsid w:val="002A1F4F"/>
    <w:rsid w:val="002A28E6"/>
    <w:rsid w:val="002A3FF0"/>
    <w:rsid w:val="002A4D04"/>
    <w:rsid w:val="002A4D39"/>
    <w:rsid w:val="002A6242"/>
    <w:rsid w:val="002B228B"/>
    <w:rsid w:val="002B6532"/>
    <w:rsid w:val="002C111E"/>
    <w:rsid w:val="002C2034"/>
    <w:rsid w:val="002C31B9"/>
    <w:rsid w:val="002C3A31"/>
    <w:rsid w:val="002C55CC"/>
    <w:rsid w:val="002C568F"/>
    <w:rsid w:val="002D05B1"/>
    <w:rsid w:val="002D2CC9"/>
    <w:rsid w:val="002D4B0B"/>
    <w:rsid w:val="002D5D0E"/>
    <w:rsid w:val="002E0B8A"/>
    <w:rsid w:val="002E1748"/>
    <w:rsid w:val="002E2C20"/>
    <w:rsid w:val="002E3269"/>
    <w:rsid w:val="002E4DDB"/>
    <w:rsid w:val="002E4E1E"/>
    <w:rsid w:val="002E53F1"/>
    <w:rsid w:val="002E7555"/>
    <w:rsid w:val="002F0FA2"/>
    <w:rsid w:val="002F3AFA"/>
    <w:rsid w:val="002F3E5F"/>
    <w:rsid w:val="002F4308"/>
    <w:rsid w:val="002F5509"/>
    <w:rsid w:val="002F5EBF"/>
    <w:rsid w:val="002F6D0B"/>
    <w:rsid w:val="002F7777"/>
    <w:rsid w:val="003050F7"/>
    <w:rsid w:val="003051AE"/>
    <w:rsid w:val="00305670"/>
    <w:rsid w:val="003058A5"/>
    <w:rsid w:val="00305A19"/>
    <w:rsid w:val="0030606C"/>
    <w:rsid w:val="0030775F"/>
    <w:rsid w:val="00312A0C"/>
    <w:rsid w:val="00312D0E"/>
    <w:rsid w:val="00315DED"/>
    <w:rsid w:val="00316344"/>
    <w:rsid w:val="003172DC"/>
    <w:rsid w:val="00317A7F"/>
    <w:rsid w:val="00320A96"/>
    <w:rsid w:val="00323947"/>
    <w:rsid w:val="00324D97"/>
    <w:rsid w:val="00325FC1"/>
    <w:rsid w:val="00326763"/>
    <w:rsid w:val="00326D1D"/>
    <w:rsid w:val="003307A6"/>
    <w:rsid w:val="00331E0B"/>
    <w:rsid w:val="003325B7"/>
    <w:rsid w:val="00334224"/>
    <w:rsid w:val="00336BDE"/>
    <w:rsid w:val="00337638"/>
    <w:rsid w:val="00340045"/>
    <w:rsid w:val="0034026A"/>
    <w:rsid w:val="00340C3B"/>
    <w:rsid w:val="00340F1B"/>
    <w:rsid w:val="00343048"/>
    <w:rsid w:val="00343BCA"/>
    <w:rsid w:val="003443A3"/>
    <w:rsid w:val="0034566C"/>
    <w:rsid w:val="003457BF"/>
    <w:rsid w:val="0034618B"/>
    <w:rsid w:val="003467F4"/>
    <w:rsid w:val="003469BD"/>
    <w:rsid w:val="00347C0C"/>
    <w:rsid w:val="00347E03"/>
    <w:rsid w:val="00347F61"/>
    <w:rsid w:val="0035170C"/>
    <w:rsid w:val="003518B3"/>
    <w:rsid w:val="00354CE1"/>
    <w:rsid w:val="00356808"/>
    <w:rsid w:val="00357AEE"/>
    <w:rsid w:val="00357BBA"/>
    <w:rsid w:val="003621D4"/>
    <w:rsid w:val="003627DF"/>
    <w:rsid w:val="0036304D"/>
    <w:rsid w:val="0036371D"/>
    <w:rsid w:val="003651D6"/>
    <w:rsid w:val="00366206"/>
    <w:rsid w:val="00366903"/>
    <w:rsid w:val="003677F4"/>
    <w:rsid w:val="00367AD4"/>
    <w:rsid w:val="003712AA"/>
    <w:rsid w:val="00373CEB"/>
    <w:rsid w:val="00373E5F"/>
    <w:rsid w:val="003753C9"/>
    <w:rsid w:val="003769DD"/>
    <w:rsid w:val="00376DD4"/>
    <w:rsid w:val="00377A47"/>
    <w:rsid w:val="00380EE3"/>
    <w:rsid w:val="003810CE"/>
    <w:rsid w:val="0038233C"/>
    <w:rsid w:val="00382563"/>
    <w:rsid w:val="00382F77"/>
    <w:rsid w:val="00385423"/>
    <w:rsid w:val="003869DA"/>
    <w:rsid w:val="0038778E"/>
    <w:rsid w:val="0039107F"/>
    <w:rsid w:val="003913C9"/>
    <w:rsid w:val="00392136"/>
    <w:rsid w:val="00393F1E"/>
    <w:rsid w:val="003943E3"/>
    <w:rsid w:val="00394E5B"/>
    <w:rsid w:val="00394FCE"/>
    <w:rsid w:val="0039580B"/>
    <w:rsid w:val="00396379"/>
    <w:rsid w:val="0039684A"/>
    <w:rsid w:val="0039727F"/>
    <w:rsid w:val="00397CED"/>
    <w:rsid w:val="003A032B"/>
    <w:rsid w:val="003A09E5"/>
    <w:rsid w:val="003A0F27"/>
    <w:rsid w:val="003A3A87"/>
    <w:rsid w:val="003A3F68"/>
    <w:rsid w:val="003A408A"/>
    <w:rsid w:val="003A4CF6"/>
    <w:rsid w:val="003A5D4B"/>
    <w:rsid w:val="003A68BD"/>
    <w:rsid w:val="003A6AEE"/>
    <w:rsid w:val="003A76E0"/>
    <w:rsid w:val="003A7A7D"/>
    <w:rsid w:val="003A7FA3"/>
    <w:rsid w:val="003B58E7"/>
    <w:rsid w:val="003B5CFD"/>
    <w:rsid w:val="003B6534"/>
    <w:rsid w:val="003C3232"/>
    <w:rsid w:val="003C3725"/>
    <w:rsid w:val="003C4FA6"/>
    <w:rsid w:val="003C5816"/>
    <w:rsid w:val="003C64F1"/>
    <w:rsid w:val="003D0EF8"/>
    <w:rsid w:val="003D1792"/>
    <w:rsid w:val="003D21E3"/>
    <w:rsid w:val="003D2ABF"/>
    <w:rsid w:val="003D2B81"/>
    <w:rsid w:val="003D55A5"/>
    <w:rsid w:val="003D6C81"/>
    <w:rsid w:val="003D7094"/>
    <w:rsid w:val="003D7D74"/>
    <w:rsid w:val="003D7F42"/>
    <w:rsid w:val="003E1334"/>
    <w:rsid w:val="003E215B"/>
    <w:rsid w:val="003E223D"/>
    <w:rsid w:val="003E28EA"/>
    <w:rsid w:val="003E2F8A"/>
    <w:rsid w:val="003E4247"/>
    <w:rsid w:val="003E45E7"/>
    <w:rsid w:val="003E4F1E"/>
    <w:rsid w:val="003E628D"/>
    <w:rsid w:val="003E7387"/>
    <w:rsid w:val="003E79F4"/>
    <w:rsid w:val="003F0C32"/>
    <w:rsid w:val="003F4F43"/>
    <w:rsid w:val="003F51F9"/>
    <w:rsid w:val="003F61B8"/>
    <w:rsid w:val="003F6BB1"/>
    <w:rsid w:val="003F7F93"/>
    <w:rsid w:val="004000E8"/>
    <w:rsid w:val="00403774"/>
    <w:rsid w:val="0040400D"/>
    <w:rsid w:val="004041BE"/>
    <w:rsid w:val="00404564"/>
    <w:rsid w:val="00404CB2"/>
    <w:rsid w:val="00405545"/>
    <w:rsid w:val="00405DB0"/>
    <w:rsid w:val="00406E5C"/>
    <w:rsid w:val="004070B9"/>
    <w:rsid w:val="00407111"/>
    <w:rsid w:val="00407FFA"/>
    <w:rsid w:val="00410332"/>
    <w:rsid w:val="00410C0E"/>
    <w:rsid w:val="00412C5A"/>
    <w:rsid w:val="00413E90"/>
    <w:rsid w:val="00415D02"/>
    <w:rsid w:val="00415DA7"/>
    <w:rsid w:val="00416803"/>
    <w:rsid w:val="00417322"/>
    <w:rsid w:val="00417F67"/>
    <w:rsid w:val="004200E6"/>
    <w:rsid w:val="004201D0"/>
    <w:rsid w:val="00421C02"/>
    <w:rsid w:val="00422411"/>
    <w:rsid w:val="004236E1"/>
    <w:rsid w:val="00424C46"/>
    <w:rsid w:val="00424E69"/>
    <w:rsid w:val="00425E76"/>
    <w:rsid w:val="004268C1"/>
    <w:rsid w:val="004302C9"/>
    <w:rsid w:val="00431E75"/>
    <w:rsid w:val="00432D7E"/>
    <w:rsid w:val="00433573"/>
    <w:rsid w:val="00434C44"/>
    <w:rsid w:val="004356D2"/>
    <w:rsid w:val="00436396"/>
    <w:rsid w:val="00437A81"/>
    <w:rsid w:val="00437F9F"/>
    <w:rsid w:val="00442521"/>
    <w:rsid w:val="00442636"/>
    <w:rsid w:val="00444E60"/>
    <w:rsid w:val="00445D94"/>
    <w:rsid w:val="00445E5C"/>
    <w:rsid w:val="00447D72"/>
    <w:rsid w:val="004511CC"/>
    <w:rsid w:val="004520EC"/>
    <w:rsid w:val="00453105"/>
    <w:rsid w:val="00453FA6"/>
    <w:rsid w:val="00455A93"/>
    <w:rsid w:val="00456854"/>
    <w:rsid w:val="00460112"/>
    <w:rsid w:val="00461108"/>
    <w:rsid w:val="0046198E"/>
    <w:rsid w:val="00461FDB"/>
    <w:rsid w:val="0046300C"/>
    <w:rsid w:val="00463175"/>
    <w:rsid w:val="004636C0"/>
    <w:rsid w:val="00463D9A"/>
    <w:rsid w:val="004643DE"/>
    <w:rsid w:val="00464E61"/>
    <w:rsid w:val="00465300"/>
    <w:rsid w:val="00466906"/>
    <w:rsid w:val="00466DD3"/>
    <w:rsid w:val="004673A6"/>
    <w:rsid w:val="00467486"/>
    <w:rsid w:val="004714DB"/>
    <w:rsid w:val="004718D3"/>
    <w:rsid w:val="0047325B"/>
    <w:rsid w:val="00473E89"/>
    <w:rsid w:val="00474521"/>
    <w:rsid w:val="0047503B"/>
    <w:rsid w:val="00475F20"/>
    <w:rsid w:val="00476150"/>
    <w:rsid w:val="00477478"/>
    <w:rsid w:val="0047775B"/>
    <w:rsid w:val="00480B9B"/>
    <w:rsid w:val="004818BF"/>
    <w:rsid w:val="00482F9D"/>
    <w:rsid w:val="004844F7"/>
    <w:rsid w:val="00484993"/>
    <w:rsid w:val="00484B05"/>
    <w:rsid w:val="00486724"/>
    <w:rsid w:val="00486FB3"/>
    <w:rsid w:val="00490AE6"/>
    <w:rsid w:val="004929E3"/>
    <w:rsid w:val="00492C5E"/>
    <w:rsid w:val="00493705"/>
    <w:rsid w:val="0049522E"/>
    <w:rsid w:val="004963E7"/>
    <w:rsid w:val="004A0A0E"/>
    <w:rsid w:val="004A2F14"/>
    <w:rsid w:val="004A3FB5"/>
    <w:rsid w:val="004A4603"/>
    <w:rsid w:val="004A4606"/>
    <w:rsid w:val="004A47AE"/>
    <w:rsid w:val="004A5623"/>
    <w:rsid w:val="004A6AC2"/>
    <w:rsid w:val="004A755C"/>
    <w:rsid w:val="004B001C"/>
    <w:rsid w:val="004B0057"/>
    <w:rsid w:val="004B01FF"/>
    <w:rsid w:val="004B077A"/>
    <w:rsid w:val="004B32A1"/>
    <w:rsid w:val="004B39F1"/>
    <w:rsid w:val="004B5DF2"/>
    <w:rsid w:val="004B71A8"/>
    <w:rsid w:val="004B7867"/>
    <w:rsid w:val="004B7932"/>
    <w:rsid w:val="004B798D"/>
    <w:rsid w:val="004C0074"/>
    <w:rsid w:val="004C0D27"/>
    <w:rsid w:val="004C21C8"/>
    <w:rsid w:val="004C3659"/>
    <w:rsid w:val="004C37D7"/>
    <w:rsid w:val="004C4086"/>
    <w:rsid w:val="004C43CB"/>
    <w:rsid w:val="004C4E28"/>
    <w:rsid w:val="004C5FE1"/>
    <w:rsid w:val="004D08B4"/>
    <w:rsid w:val="004D0DCD"/>
    <w:rsid w:val="004D1734"/>
    <w:rsid w:val="004D1925"/>
    <w:rsid w:val="004D1C0A"/>
    <w:rsid w:val="004D2D30"/>
    <w:rsid w:val="004D3A70"/>
    <w:rsid w:val="004D44C6"/>
    <w:rsid w:val="004D4B6B"/>
    <w:rsid w:val="004D6ED7"/>
    <w:rsid w:val="004E1810"/>
    <w:rsid w:val="004E3426"/>
    <w:rsid w:val="004E3842"/>
    <w:rsid w:val="004E47DC"/>
    <w:rsid w:val="004E5753"/>
    <w:rsid w:val="004E61FD"/>
    <w:rsid w:val="004F0CA7"/>
    <w:rsid w:val="004F16D4"/>
    <w:rsid w:val="004F353B"/>
    <w:rsid w:val="004F5224"/>
    <w:rsid w:val="004F5563"/>
    <w:rsid w:val="004F6438"/>
    <w:rsid w:val="004F7684"/>
    <w:rsid w:val="005011F9"/>
    <w:rsid w:val="00501D05"/>
    <w:rsid w:val="00503FB8"/>
    <w:rsid w:val="00504E34"/>
    <w:rsid w:val="005054C1"/>
    <w:rsid w:val="0050577A"/>
    <w:rsid w:val="005067CF"/>
    <w:rsid w:val="00506BB4"/>
    <w:rsid w:val="0050786D"/>
    <w:rsid w:val="00510DC1"/>
    <w:rsid w:val="0051241E"/>
    <w:rsid w:val="00512D21"/>
    <w:rsid w:val="00513014"/>
    <w:rsid w:val="00514E54"/>
    <w:rsid w:val="005172A0"/>
    <w:rsid w:val="00522115"/>
    <w:rsid w:val="00523613"/>
    <w:rsid w:val="00523C4D"/>
    <w:rsid w:val="00525E90"/>
    <w:rsid w:val="005262D5"/>
    <w:rsid w:val="005266E5"/>
    <w:rsid w:val="00526F2A"/>
    <w:rsid w:val="005330EA"/>
    <w:rsid w:val="005334B3"/>
    <w:rsid w:val="00533559"/>
    <w:rsid w:val="005345E2"/>
    <w:rsid w:val="00535B8F"/>
    <w:rsid w:val="0054036D"/>
    <w:rsid w:val="005404E9"/>
    <w:rsid w:val="0054183D"/>
    <w:rsid w:val="00542960"/>
    <w:rsid w:val="00544DB5"/>
    <w:rsid w:val="00545297"/>
    <w:rsid w:val="0054576C"/>
    <w:rsid w:val="00547101"/>
    <w:rsid w:val="00552A7F"/>
    <w:rsid w:val="00553E2B"/>
    <w:rsid w:val="005547ED"/>
    <w:rsid w:val="00554B2D"/>
    <w:rsid w:val="00555500"/>
    <w:rsid w:val="00560010"/>
    <w:rsid w:val="00560026"/>
    <w:rsid w:val="00561C91"/>
    <w:rsid w:val="00561DC2"/>
    <w:rsid w:val="00561F7B"/>
    <w:rsid w:val="00562B9E"/>
    <w:rsid w:val="00563EA7"/>
    <w:rsid w:val="00564748"/>
    <w:rsid w:val="00566AFE"/>
    <w:rsid w:val="00566C9E"/>
    <w:rsid w:val="0056747C"/>
    <w:rsid w:val="00570D6E"/>
    <w:rsid w:val="00571E0D"/>
    <w:rsid w:val="00571E0E"/>
    <w:rsid w:val="0057201D"/>
    <w:rsid w:val="005726B8"/>
    <w:rsid w:val="00573096"/>
    <w:rsid w:val="00574611"/>
    <w:rsid w:val="005750CC"/>
    <w:rsid w:val="00575A74"/>
    <w:rsid w:val="005800B7"/>
    <w:rsid w:val="00581F1C"/>
    <w:rsid w:val="00582056"/>
    <w:rsid w:val="00582E9A"/>
    <w:rsid w:val="005851AB"/>
    <w:rsid w:val="005854AF"/>
    <w:rsid w:val="005866DD"/>
    <w:rsid w:val="00586AD2"/>
    <w:rsid w:val="00587A2E"/>
    <w:rsid w:val="00592E8A"/>
    <w:rsid w:val="00593225"/>
    <w:rsid w:val="0059328A"/>
    <w:rsid w:val="0059398B"/>
    <w:rsid w:val="005944E6"/>
    <w:rsid w:val="00595887"/>
    <w:rsid w:val="00595BDD"/>
    <w:rsid w:val="00596771"/>
    <w:rsid w:val="00596ADF"/>
    <w:rsid w:val="00597067"/>
    <w:rsid w:val="00597299"/>
    <w:rsid w:val="00597AE6"/>
    <w:rsid w:val="005A0359"/>
    <w:rsid w:val="005A0DEB"/>
    <w:rsid w:val="005A0E88"/>
    <w:rsid w:val="005A1066"/>
    <w:rsid w:val="005A12C1"/>
    <w:rsid w:val="005A1305"/>
    <w:rsid w:val="005A2FCA"/>
    <w:rsid w:val="005A3A97"/>
    <w:rsid w:val="005A4938"/>
    <w:rsid w:val="005A504F"/>
    <w:rsid w:val="005A5DE9"/>
    <w:rsid w:val="005A6046"/>
    <w:rsid w:val="005A6299"/>
    <w:rsid w:val="005A65B8"/>
    <w:rsid w:val="005A6844"/>
    <w:rsid w:val="005A6DC8"/>
    <w:rsid w:val="005B0B1B"/>
    <w:rsid w:val="005B115E"/>
    <w:rsid w:val="005B168B"/>
    <w:rsid w:val="005B1B12"/>
    <w:rsid w:val="005B40E9"/>
    <w:rsid w:val="005B476A"/>
    <w:rsid w:val="005B581A"/>
    <w:rsid w:val="005B6096"/>
    <w:rsid w:val="005B668B"/>
    <w:rsid w:val="005B76D0"/>
    <w:rsid w:val="005C1FB1"/>
    <w:rsid w:val="005C281A"/>
    <w:rsid w:val="005C36E7"/>
    <w:rsid w:val="005C4E2B"/>
    <w:rsid w:val="005D14EA"/>
    <w:rsid w:val="005D1584"/>
    <w:rsid w:val="005D3058"/>
    <w:rsid w:val="005D5F9B"/>
    <w:rsid w:val="005D7101"/>
    <w:rsid w:val="005D7628"/>
    <w:rsid w:val="005E13A9"/>
    <w:rsid w:val="005E206F"/>
    <w:rsid w:val="005E2A19"/>
    <w:rsid w:val="005E2DEA"/>
    <w:rsid w:val="005E3E05"/>
    <w:rsid w:val="005F0D68"/>
    <w:rsid w:val="005F1B0E"/>
    <w:rsid w:val="005F1F5E"/>
    <w:rsid w:val="005F2DE0"/>
    <w:rsid w:val="005F3AAD"/>
    <w:rsid w:val="005F3F84"/>
    <w:rsid w:val="005F4FD1"/>
    <w:rsid w:val="005F50A3"/>
    <w:rsid w:val="005F53E3"/>
    <w:rsid w:val="005F5721"/>
    <w:rsid w:val="005F7A7B"/>
    <w:rsid w:val="005F7B93"/>
    <w:rsid w:val="0060186C"/>
    <w:rsid w:val="006021E8"/>
    <w:rsid w:val="00602A9C"/>
    <w:rsid w:val="00602C76"/>
    <w:rsid w:val="0060302E"/>
    <w:rsid w:val="00604418"/>
    <w:rsid w:val="0061141C"/>
    <w:rsid w:val="00611C30"/>
    <w:rsid w:val="00612024"/>
    <w:rsid w:val="006120E0"/>
    <w:rsid w:val="00613C1E"/>
    <w:rsid w:val="00614415"/>
    <w:rsid w:val="006145D0"/>
    <w:rsid w:val="006146F8"/>
    <w:rsid w:val="00614A08"/>
    <w:rsid w:val="00615614"/>
    <w:rsid w:val="00616A5D"/>
    <w:rsid w:val="00616BE0"/>
    <w:rsid w:val="00621925"/>
    <w:rsid w:val="00621CAD"/>
    <w:rsid w:val="00624E1A"/>
    <w:rsid w:val="00625F8C"/>
    <w:rsid w:val="00626563"/>
    <w:rsid w:val="00626749"/>
    <w:rsid w:val="00630028"/>
    <w:rsid w:val="00630AA1"/>
    <w:rsid w:val="0063108E"/>
    <w:rsid w:val="006317DC"/>
    <w:rsid w:val="00631C2C"/>
    <w:rsid w:val="00632787"/>
    <w:rsid w:val="00634B62"/>
    <w:rsid w:val="00634D62"/>
    <w:rsid w:val="0063515F"/>
    <w:rsid w:val="00637580"/>
    <w:rsid w:val="00637871"/>
    <w:rsid w:val="0064210F"/>
    <w:rsid w:val="0064243B"/>
    <w:rsid w:val="00642A0F"/>
    <w:rsid w:val="00643323"/>
    <w:rsid w:val="0064348A"/>
    <w:rsid w:val="0064552E"/>
    <w:rsid w:val="00645989"/>
    <w:rsid w:val="00647A75"/>
    <w:rsid w:val="00650065"/>
    <w:rsid w:val="0065008F"/>
    <w:rsid w:val="006504BF"/>
    <w:rsid w:val="00650B99"/>
    <w:rsid w:val="00651E1C"/>
    <w:rsid w:val="00653F84"/>
    <w:rsid w:val="00656CD1"/>
    <w:rsid w:val="00656E51"/>
    <w:rsid w:val="00657D54"/>
    <w:rsid w:val="0066157A"/>
    <w:rsid w:val="006624CB"/>
    <w:rsid w:val="00664A4B"/>
    <w:rsid w:val="0066557E"/>
    <w:rsid w:val="00665D5E"/>
    <w:rsid w:val="00666798"/>
    <w:rsid w:val="006707A1"/>
    <w:rsid w:val="00670F2A"/>
    <w:rsid w:val="00671178"/>
    <w:rsid w:val="006727EE"/>
    <w:rsid w:val="00672DB5"/>
    <w:rsid w:val="00672E1E"/>
    <w:rsid w:val="006731A3"/>
    <w:rsid w:val="006733D2"/>
    <w:rsid w:val="00673F2E"/>
    <w:rsid w:val="00675E04"/>
    <w:rsid w:val="00677FB0"/>
    <w:rsid w:val="006812E9"/>
    <w:rsid w:val="00683B47"/>
    <w:rsid w:val="00683F4A"/>
    <w:rsid w:val="00684ABD"/>
    <w:rsid w:val="006857B5"/>
    <w:rsid w:val="00685961"/>
    <w:rsid w:val="00685EA9"/>
    <w:rsid w:val="00686EC2"/>
    <w:rsid w:val="006879FC"/>
    <w:rsid w:val="006913B9"/>
    <w:rsid w:val="00691AA5"/>
    <w:rsid w:val="00692E8C"/>
    <w:rsid w:val="006935FC"/>
    <w:rsid w:val="0069529E"/>
    <w:rsid w:val="006979E4"/>
    <w:rsid w:val="006A09CF"/>
    <w:rsid w:val="006A0C36"/>
    <w:rsid w:val="006A0CFE"/>
    <w:rsid w:val="006A1473"/>
    <w:rsid w:val="006A17E7"/>
    <w:rsid w:val="006A4FF0"/>
    <w:rsid w:val="006A548E"/>
    <w:rsid w:val="006A5D17"/>
    <w:rsid w:val="006A7015"/>
    <w:rsid w:val="006A7B36"/>
    <w:rsid w:val="006B0E52"/>
    <w:rsid w:val="006B3012"/>
    <w:rsid w:val="006B4045"/>
    <w:rsid w:val="006B538A"/>
    <w:rsid w:val="006B5644"/>
    <w:rsid w:val="006B6605"/>
    <w:rsid w:val="006B6983"/>
    <w:rsid w:val="006B7152"/>
    <w:rsid w:val="006B764E"/>
    <w:rsid w:val="006B7B1B"/>
    <w:rsid w:val="006B7C69"/>
    <w:rsid w:val="006C1375"/>
    <w:rsid w:val="006C256E"/>
    <w:rsid w:val="006C2842"/>
    <w:rsid w:val="006C2FD2"/>
    <w:rsid w:val="006C428E"/>
    <w:rsid w:val="006C60C4"/>
    <w:rsid w:val="006C6468"/>
    <w:rsid w:val="006C64E7"/>
    <w:rsid w:val="006C685A"/>
    <w:rsid w:val="006C798B"/>
    <w:rsid w:val="006C7D7B"/>
    <w:rsid w:val="006D004B"/>
    <w:rsid w:val="006D2C63"/>
    <w:rsid w:val="006D34AE"/>
    <w:rsid w:val="006D6D52"/>
    <w:rsid w:val="006D6FA8"/>
    <w:rsid w:val="006E1246"/>
    <w:rsid w:val="006E26F2"/>
    <w:rsid w:val="006E49FA"/>
    <w:rsid w:val="006E521B"/>
    <w:rsid w:val="006E5734"/>
    <w:rsid w:val="006E7F3B"/>
    <w:rsid w:val="006F05AD"/>
    <w:rsid w:val="006F1782"/>
    <w:rsid w:val="006F1E56"/>
    <w:rsid w:val="006F1FE0"/>
    <w:rsid w:val="006F3FE7"/>
    <w:rsid w:val="006F443E"/>
    <w:rsid w:val="006F456D"/>
    <w:rsid w:val="006F55DC"/>
    <w:rsid w:val="006F5C43"/>
    <w:rsid w:val="006F5DAB"/>
    <w:rsid w:val="006F607B"/>
    <w:rsid w:val="006F72B2"/>
    <w:rsid w:val="00700242"/>
    <w:rsid w:val="00700B8B"/>
    <w:rsid w:val="00702A61"/>
    <w:rsid w:val="007032AB"/>
    <w:rsid w:val="0070384C"/>
    <w:rsid w:val="00706487"/>
    <w:rsid w:val="00712216"/>
    <w:rsid w:val="0071259C"/>
    <w:rsid w:val="0071297C"/>
    <w:rsid w:val="00714078"/>
    <w:rsid w:val="007165A9"/>
    <w:rsid w:val="00720723"/>
    <w:rsid w:val="00721B9E"/>
    <w:rsid w:val="00721F0B"/>
    <w:rsid w:val="00723529"/>
    <w:rsid w:val="00724332"/>
    <w:rsid w:val="007246FC"/>
    <w:rsid w:val="00726609"/>
    <w:rsid w:val="00727F03"/>
    <w:rsid w:val="0073410E"/>
    <w:rsid w:val="00734499"/>
    <w:rsid w:val="00734699"/>
    <w:rsid w:val="00735FEB"/>
    <w:rsid w:val="00736102"/>
    <w:rsid w:val="007361AB"/>
    <w:rsid w:val="0074119C"/>
    <w:rsid w:val="00741F40"/>
    <w:rsid w:val="007437BE"/>
    <w:rsid w:val="0074487C"/>
    <w:rsid w:val="00745B26"/>
    <w:rsid w:val="00745EB1"/>
    <w:rsid w:val="00746566"/>
    <w:rsid w:val="00746FCB"/>
    <w:rsid w:val="00747D5F"/>
    <w:rsid w:val="00747E15"/>
    <w:rsid w:val="00750919"/>
    <w:rsid w:val="0075263F"/>
    <w:rsid w:val="00752A5E"/>
    <w:rsid w:val="0075586D"/>
    <w:rsid w:val="00756916"/>
    <w:rsid w:val="00757B67"/>
    <w:rsid w:val="007600A7"/>
    <w:rsid w:val="0076089C"/>
    <w:rsid w:val="00761995"/>
    <w:rsid w:val="00764028"/>
    <w:rsid w:val="007646E2"/>
    <w:rsid w:val="00767B62"/>
    <w:rsid w:val="00767CE0"/>
    <w:rsid w:val="00770306"/>
    <w:rsid w:val="00770BE2"/>
    <w:rsid w:val="00770C40"/>
    <w:rsid w:val="00770CD6"/>
    <w:rsid w:val="007723CE"/>
    <w:rsid w:val="00772938"/>
    <w:rsid w:val="00772C7C"/>
    <w:rsid w:val="00773EDD"/>
    <w:rsid w:val="00775071"/>
    <w:rsid w:val="00775AD4"/>
    <w:rsid w:val="00780655"/>
    <w:rsid w:val="0078113B"/>
    <w:rsid w:val="00781C4B"/>
    <w:rsid w:val="00781EAD"/>
    <w:rsid w:val="00781F6D"/>
    <w:rsid w:val="00782771"/>
    <w:rsid w:val="007828E6"/>
    <w:rsid w:val="00783007"/>
    <w:rsid w:val="007830FB"/>
    <w:rsid w:val="00784561"/>
    <w:rsid w:val="00784A93"/>
    <w:rsid w:val="007850D8"/>
    <w:rsid w:val="0078645D"/>
    <w:rsid w:val="0078676F"/>
    <w:rsid w:val="0078736A"/>
    <w:rsid w:val="0078745B"/>
    <w:rsid w:val="00787DBA"/>
    <w:rsid w:val="00787EDB"/>
    <w:rsid w:val="00790634"/>
    <w:rsid w:val="00791F05"/>
    <w:rsid w:val="00794EFD"/>
    <w:rsid w:val="0079527F"/>
    <w:rsid w:val="007963D2"/>
    <w:rsid w:val="00796726"/>
    <w:rsid w:val="00797A38"/>
    <w:rsid w:val="007A1C20"/>
    <w:rsid w:val="007A2054"/>
    <w:rsid w:val="007A275B"/>
    <w:rsid w:val="007A28EF"/>
    <w:rsid w:val="007A2E7A"/>
    <w:rsid w:val="007A32FA"/>
    <w:rsid w:val="007A3B07"/>
    <w:rsid w:val="007A3CCE"/>
    <w:rsid w:val="007A45CF"/>
    <w:rsid w:val="007A54CA"/>
    <w:rsid w:val="007A566C"/>
    <w:rsid w:val="007A60FE"/>
    <w:rsid w:val="007B0D3F"/>
    <w:rsid w:val="007B2B2A"/>
    <w:rsid w:val="007B3E72"/>
    <w:rsid w:val="007B58D3"/>
    <w:rsid w:val="007B61AC"/>
    <w:rsid w:val="007C018C"/>
    <w:rsid w:val="007C03F0"/>
    <w:rsid w:val="007C2A78"/>
    <w:rsid w:val="007C4DF2"/>
    <w:rsid w:val="007C58AC"/>
    <w:rsid w:val="007C6219"/>
    <w:rsid w:val="007D145D"/>
    <w:rsid w:val="007D1957"/>
    <w:rsid w:val="007D241D"/>
    <w:rsid w:val="007D42F3"/>
    <w:rsid w:val="007D43C8"/>
    <w:rsid w:val="007D5F1D"/>
    <w:rsid w:val="007D65D5"/>
    <w:rsid w:val="007E09EF"/>
    <w:rsid w:val="007E0F33"/>
    <w:rsid w:val="007E2138"/>
    <w:rsid w:val="007E2ED2"/>
    <w:rsid w:val="007E5208"/>
    <w:rsid w:val="007E6B09"/>
    <w:rsid w:val="007E7216"/>
    <w:rsid w:val="007E76D4"/>
    <w:rsid w:val="007E7728"/>
    <w:rsid w:val="007E79BB"/>
    <w:rsid w:val="007E7A95"/>
    <w:rsid w:val="007F0AF6"/>
    <w:rsid w:val="007F256C"/>
    <w:rsid w:val="007F37AF"/>
    <w:rsid w:val="007F3FF1"/>
    <w:rsid w:val="007F5DEA"/>
    <w:rsid w:val="007F5E92"/>
    <w:rsid w:val="007F7178"/>
    <w:rsid w:val="008005D9"/>
    <w:rsid w:val="008021D1"/>
    <w:rsid w:val="00802328"/>
    <w:rsid w:val="00802350"/>
    <w:rsid w:val="00802C49"/>
    <w:rsid w:val="00803E16"/>
    <w:rsid w:val="0080783B"/>
    <w:rsid w:val="0081111D"/>
    <w:rsid w:val="008115F5"/>
    <w:rsid w:val="0081171F"/>
    <w:rsid w:val="00811FBF"/>
    <w:rsid w:val="00813268"/>
    <w:rsid w:val="00813647"/>
    <w:rsid w:val="00813655"/>
    <w:rsid w:val="0081371B"/>
    <w:rsid w:val="00813728"/>
    <w:rsid w:val="00814591"/>
    <w:rsid w:val="00815023"/>
    <w:rsid w:val="00816701"/>
    <w:rsid w:val="00817084"/>
    <w:rsid w:val="00817EF0"/>
    <w:rsid w:val="00820873"/>
    <w:rsid w:val="00820E4D"/>
    <w:rsid w:val="00821263"/>
    <w:rsid w:val="008212FA"/>
    <w:rsid w:val="00821B8C"/>
    <w:rsid w:val="00822C0F"/>
    <w:rsid w:val="008230C6"/>
    <w:rsid w:val="00824120"/>
    <w:rsid w:val="00824173"/>
    <w:rsid w:val="00826042"/>
    <w:rsid w:val="00826134"/>
    <w:rsid w:val="0082666F"/>
    <w:rsid w:val="0082727C"/>
    <w:rsid w:val="00827786"/>
    <w:rsid w:val="008278DC"/>
    <w:rsid w:val="0083135D"/>
    <w:rsid w:val="00831D49"/>
    <w:rsid w:val="0083339B"/>
    <w:rsid w:val="00833800"/>
    <w:rsid w:val="00833F9B"/>
    <w:rsid w:val="008355F7"/>
    <w:rsid w:val="00836296"/>
    <w:rsid w:val="00836663"/>
    <w:rsid w:val="008371E0"/>
    <w:rsid w:val="008375E6"/>
    <w:rsid w:val="00837EF0"/>
    <w:rsid w:val="008430AE"/>
    <w:rsid w:val="0084474C"/>
    <w:rsid w:val="00844D88"/>
    <w:rsid w:val="008450E2"/>
    <w:rsid w:val="00850918"/>
    <w:rsid w:val="00852D8A"/>
    <w:rsid w:val="00852EAC"/>
    <w:rsid w:val="008530D2"/>
    <w:rsid w:val="008532D7"/>
    <w:rsid w:val="00855D9C"/>
    <w:rsid w:val="008562C0"/>
    <w:rsid w:val="00857651"/>
    <w:rsid w:val="00860EAC"/>
    <w:rsid w:val="0086105C"/>
    <w:rsid w:val="0086115D"/>
    <w:rsid w:val="00862C04"/>
    <w:rsid w:val="00863040"/>
    <w:rsid w:val="00863500"/>
    <w:rsid w:val="0086422A"/>
    <w:rsid w:val="008647CF"/>
    <w:rsid w:val="00866577"/>
    <w:rsid w:val="00866C0D"/>
    <w:rsid w:val="00866E9F"/>
    <w:rsid w:val="00867393"/>
    <w:rsid w:val="00867F5A"/>
    <w:rsid w:val="0087365F"/>
    <w:rsid w:val="00873CB5"/>
    <w:rsid w:val="00874054"/>
    <w:rsid w:val="00875956"/>
    <w:rsid w:val="00877040"/>
    <w:rsid w:val="008770B7"/>
    <w:rsid w:val="008772B6"/>
    <w:rsid w:val="00881BB4"/>
    <w:rsid w:val="00881D43"/>
    <w:rsid w:val="0088602D"/>
    <w:rsid w:val="00890143"/>
    <w:rsid w:val="00890269"/>
    <w:rsid w:val="00892CD2"/>
    <w:rsid w:val="00893405"/>
    <w:rsid w:val="00894062"/>
    <w:rsid w:val="00896356"/>
    <w:rsid w:val="008965FD"/>
    <w:rsid w:val="008971CA"/>
    <w:rsid w:val="008A0975"/>
    <w:rsid w:val="008A0C61"/>
    <w:rsid w:val="008A1265"/>
    <w:rsid w:val="008A1AC6"/>
    <w:rsid w:val="008A2ED9"/>
    <w:rsid w:val="008A694C"/>
    <w:rsid w:val="008A7119"/>
    <w:rsid w:val="008A74A2"/>
    <w:rsid w:val="008A7A25"/>
    <w:rsid w:val="008B1BFD"/>
    <w:rsid w:val="008B295D"/>
    <w:rsid w:val="008B2C93"/>
    <w:rsid w:val="008B372D"/>
    <w:rsid w:val="008B3A79"/>
    <w:rsid w:val="008B3C3B"/>
    <w:rsid w:val="008B4FC9"/>
    <w:rsid w:val="008B55C3"/>
    <w:rsid w:val="008B600D"/>
    <w:rsid w:val="008B6BD2"/>
    <w:rsid w:val="008B74C5"/>
    <w:rsid w:val="008C12CF"/>
    <w:rsid w:val="008C1643"/>
    <w:rsid w:val="008C1F32"/>
    <w:rsid w:val="008C2C10"/>
    <w:rsid w:val="008C5B19"/>
    <w:rsid w:val="008C5FFE"/>
    <w:rsid w:val="008C6650"/>
    <w:rsid w:val="008C7A23"/>
    <w:rsid w:val="008D1392"/>
    <w:rsid w:val="008D1956"/>
    <w:rsid w:val="008D1F3E"/>
    <w:rsid w:val="008D3678"/>
    <w:rsid w:val="008D51F1"/>
    <w:rsid w:val="008D560B"/>
    <w:rsid w:val="008D6114"/>
    <w:rsid w:val="008D6569"/>
    <w:rsid w:val="008D6821"/>
    <w:rsid w:val="008D7E97"/>
    <w:rsid w:val="008E26D3"/>
    <w:rsid w:val="008E3105"/>
    <w:rsid w:val="008E3B42"/>
    <w:rsid w:val="008E3C7B"/>
    <w:rsid w:val="008E3FCD"/>
    <w:rsid w:val="008E4E4B"/>
    <w:rsid w:val="008E5236"/>
    <w:rsid w:val="008E7FA8"/>
    <w:rsid w:val="008F3388"/>
    <w:rsid w:val="008F3563"/>
    <w:rsid w:val="008F5F71"/>
    <w:rsid w:val="008F6634"/>
    <w:rsid w:val="008F6FA4"/>
    <w:rsid w:val="008F7003"/>
    <w:rsid w:val="00900B7E"/>
    <w:rsid w:val="009012F9"/>
    <w:rsid w:val="00903242"/>
    <w:rsid w:val="00904ED6"/>
    <w:rsid w:val="00907CEE"/>
    <w:rsid w:val="009100A1"/>
    <w:rsid w:val="00912359"/>
    <w:rsid w:val="00912B98"/>
    <w:rsid w:val="00912DAE"/>
    <w:rsid w:val="00912E98"/>
    <w:rsid w:val="0091552A"/>
    <w:rsid w:val="009168E1"/>
    <w:rsid w:val="00917A19"/>
    <w:rsid w:val="00917CE2"/>
    <w:rsid w:val="0092012D"/>
    <w:rsid w:val="00920944"/>
    <w:rsid w:val="00920D83"/>
    <w:rsid w:val="009217DB"/>
    <w:rsid w:val="00921E73"/>
    <w:rsid w:val="009228A9"/>
    <w:rsid w:val="0092325F"/>
    <w:rsid w:val="00923707"/>
    <w:rsid w:val="00925997"/>
    <w:rsid w:val="00927BF8"/>
    <w:rsid w:val="00927C5A"/>
    <w:rsid w:val="00930C99"/>
    <w:rsid w:val="00932CCD"/>
    <w:rsid w:val="00932D57"/>
    <w:rsid w:val="00932EE7"/>
    <w:rsid w:val="00933CB1"/>
    <w:rsid w:val="00934886"/>
    <w:rsid w:val="00935B29"/>
    <w:rsid w:val="00936590"/>
    <w:rsid w:val="009368B6"/>
    <w:rsid w:val="00940282"/>
    <w:rsid w:val="009410C9"/>
    <w:rsid w:val="00941CC0"/>
    <w:rsid w:val="009424F0"/>
    <w:rsid w:val="00944583"/>
    <w:rsid w:val="0094498E"/>
    <w:rsid w:val="00944EBD"/>
    <w:rsid w:val="00946858"/>
    <w:rsid w:val="00950CFA"/>
    <w:rsid w:val="009514CD"/>
    <w:rsid w:val="009519CE"/>
    <w:rsid w:val="00951EF5"/>
    <w:rsid w:val="00952F2F"/>
    <w:rsid w:val="00955046"/>
    <w:rsid w:val="00956461"/>
    <w:rsid w:val="00957C23"/>
    <w:rsid w:val="00957FCC"/>
    <w:rsid w:val="00960004"/>
    <w:rsid w:val="00960904"/>
    <w:rsid w:val="00961343"/>
    <w:rsid w:val="00966131"/>
    <w:rsid w:val="00967418"/>
    <w:rsid w:val="00967BDA"/>
    <w:rsid w:val="00967C8C"/>
    <w:rsid w:val="00970D50"/>
    <w:rsid w:val="00971299"/>
    <w:rsid w:val="00971C1B"/>
    <w:rsid w:val="00973154"/>
    <w:rsid w:val="00973D9B"/>
    <w:rsid w:val="009740A1"/>
    <w:rsid w:val="009774B5"/>
    <w:rsid w:val="009809E6"/>
    <w:rsid w:val="0098180E"/>
    <w:rsid w:val="009825B6"/>
    <w:rsid w:val="00982A54"/>
    <w:rsid w:val="00982A8B"/>
    <w:rsid w:val="00982EDF"/>
    <w:rsid w:val="009836F2"/>
    <w:rsid w:val="009853B8"/>
    <w:rsid w:val="00985659"/>
    <w:rsid w:val="00986066"/>
    <w:rsid w:val="00991538"/>
    <w:rsid w:val="00994079"/>
    <w:rsid w:val="009945F9"/>
    <w:rsid w:val="00996462"/>
    <w:rsid w:val="009A06ED"/>
    <w:rsid w:val="009A0859"/>
    <w:rsid w:val="009A0BE7"/>
    <w:rsid w:val="009A1326"/>
    <w:rsid w:val="009A14A5"/>
    <w:rsid w:val="009A279F"/>
    <w:rsid w:val="009A2C59"/>
    <w:rsid w:val="009A2DB7"/>
    <w:rsid w:val="009A3541"/>
    <w:rsid w:val="009A433F"/>
    <w:rsid w:val="009A7BEC"/>
    <w:rsid w:val="009A7CD5"/>
    <w:rsid w:val="009B0032"/>
    <w:rsid w:val="009B0AF0"/>
    <w:rsid w:val="009B1E6C"/>
    <w:rsid w:val="009B2D0F"/>
    <w:rsid w:val="009B33C2"/>
    <w:rsid w:val="009B5D5A"/>
    <w:rsid w:val="009B6606"/>
    <w:rsid w:val="009B6639"/>
    <w:rsid w:val="009B72BD"/>
    <w:rsid w:val="009C0F2E"/>
    <w:rsid w:val="009C1295"/>
    <w:rsid w:val="009C1F62"/>
    <w:rsid w:val="009C3B7F"/>
    <w:rsid w:val="009C409A"/>
    <w:rsid w:val="009C572A"/>
    <w:rsid w:val="009C7B72"/>
    <w:rsid w:val="009D1CD8"/>
    <w:rsid w:val="009D299F"/>
    <w:rsid w:val="009D3193"/>
    <w:rsid w:val="009D35A6"/>
    <w:rsid w:val="009D360F"/>
    <w:rsid w:val="009D3E13"/>
    <w:rsid w:val="009D4DFC"/>
    <w:rsid w:val="009D66A0"/>
    <w:rsid w:val="009D6D2C"/>
    <w:rsid w:val="009D7018"/>
    <w:rsid w:val="009D7B18"/>
    <w:rsid w:val="009E000C"/>
    <w:rsid w:val="009E0696"/>
    <w:rsid w:val="009E21A7"/>
    <w:rsid w:val="009E434D"/>
    <w:rsid w:val="009E4709"/>
    <w:rsid w:val="009E4CFE"/>
    <w:rsid w:val="009E56D7"/>
    <w:rsid w:val="009E5ECD"/>
    <w:rsid w:val="009E7A77"/>
    <w:rsid w:val="009E7B49"/>
    <w:rsid w:val="009F1237"/>
    <w:rsid w:val="009F1939"/>
    <w:rsid w:val="009F2E96"/>
    <w:rsid w:val="009F4024"/>
    <w:rsid w:val="009F4EF1"/>
    <w:rsid w:val="009F65B4"/>
    <w:rsid w:val="009F6855"/>
    <w:rsid w:val="009F6BBE"/>
    <w:rsid w:val="00A0003E"/>
    <w:rsid w:val="00A0059E"/>
    <w:rsid w:val="00A0076B"/>
    <w:rsid w:val="00A01789"/>
    <w:rsid w:val="00A01F47"/>
    <w:rsid w:val="00A038B2"/>
    <w:rsid w:val="00A03B8A"/>
    <w:rsid w:val="00A03D63"/>
    <w:rsid w:val="00A05F12"/>
    <w:rsid w:val="00A0625C"/>
    <w:rsid w:val="00A06AA4"/>
    <w:rsid w:val="00A06D09"/>
    <w:rsid w:val="00A07091"/>
    <w:rsid w:val="00A0785B"/>
    <w:rsid w:val="00A07AE0"/>
    <w:rsid w:val="00A10A18"/>
    <w:rsid w:val="00A12A0B"/>
    <w:rsid w:val="00A12B33"/>
    <w:rsid w:val="00A13076"/>
    <w:rsid w:val="00A133E7"/>
    <w:rsid w:val="00A159E0"/>
    <w:rsid w:val="00A1702D"/>
    <w:rsid w:val="00A17E29"/>
    <w:rsid w:val="00A21586"/>
    <w:rsid w:val="00A24367"/>
    <w:rsid w:val="00A27B39"/>
    <w:rsid w:val="00A27F2A"/>
    <w:rsid w:val="00A31A38"/>
    <w:rsid w:val="00A334CA"/>
    <w:rsid w:val="00A34370"/>
    <w:rsid w:val="00A34687"/>
    <w:rsid w:val="00A34B90"/>
    <w:rsid w:val="00A4055B"/>
    <w:rsid w:val="00A41C8E"/>
    <w:rsid w:val="00A41E29"/>
    <w:rsid w:val="00A41E53"/>
    <w:rsid w:val="00A4239C"/>
    <w:rsid w:val="00A425CF"/>
    <w:rsid w:val="00A43620"/>
    <w:rsid w:val="00A4368A"/>
    <w:rsid w:val="00A46B5D"/>
    <w:rsid w:val="00A46FDF"/>
    <w:rsid w:val="00A478BC"/>
    <w:rsid w:val="00A501CB"/>
    <w:rsid w:val="00A5174B"/>
    <w:rsid w:val="00A5294E"/>
    <w:rsid w:val="00A52D85"/>
    <w:rsid w:val="00A5505F"/>
    <w:rsid w:val="00A55450"/>
    <w:rsid w:val="00A565BA"/>
    <w:rsid w:val="00A57533"/>
    <w:rsid w:val="00A57B9E"/>
    <w:rsid w:val="00A601FF"/>
    <w:rsid w:val="00A6230C"/>
    <w:rsid w:val="00A62B87"/>
    <w:rsid w:val="00A6399C"/>
    <w:rsid w:val="00A63D23"/>
    <w:rsid w:val="00A63F01"/>
    <w:rsid w:val="00A71130"/>
    <w:rsid w:val="00A719B0"/>
    <w:rsid w:val="00A71AF4"/>
    <w:rsid w:val="00A730D1"/>
    <w:rsid w:val="00A7467F"/>
    <w:rsid w:val="00A75E24"/>
    <w:rsid w:val="00A77E09"/>
    <w:rsid w:val="00A8153E"/>
    <w:rsid w:val="00A82277"/>
    <w:rsid w:val="00A82A41"/>
    <w:rsid w:val="00A83711"/>
    <w:rsid w:val="00A83CED"/>
    <w:rsid w:val="00A84A95"/>
    <w:rsid w:val="00A85D44"/>
    <w:rsid w:val="00A865C5"/>
    <w:rsid w:val="00A86887"/>
    <w:rsid w:val="00A86989"/>
    <w:rsid w:val="00A86CBB"/>
    <w:rsid w:val="00A86F46"/>
    <w:rsid w:val="00A87E7B"/>
    <w:rsid w:val="00A905F8"/>
    <w:rsid w:val="00A915F6"/>
    <w:rsid w:val="00A931C8"/>
    <w:rsid w:val="00A938D1"/>
    <w:rsid w:val="00AA0583"/>
    <w:rsid w:val="00AA13AF"/>
    <w:rsid w:val="00AA2659"/>
    <w:rsid w:val="00AA2D38"/>
    <w:rsid w:val="00AA32EE"/>
    <w:rsid w:val="00AA376C"/>
    <w:rsid w:val="00AA46F6"/>
    <w:rsid w:val="00AA48C9"/>
    <w:rsid w:val="00AA51C0"/>
    <w:rsid w:val="00AA5BB7"/>
    <w:rsid w:val="00AA64A6"/>
    <w:rsid w:val="00AA6C76"/>
    <w:rsid w:val="00AA73D7"/>
    <w:rsid w:val="00AB0CDA"/>
    <w:rsid w:val="00AB1AB8"/>
    <w:rsid w:val="00AB2672"/>
    <w:rsid w:val="00AB2775"/>
    <w:rsid w:val="00AB35C9"/>
    <w:rsid w:val="00AB3CCD"/>
    <w:rsid w:val="00AB4DDF"/>
    <w:rsid w:val="00AB59D6"/>
    <w:rsid w:val="00AB68E3"/>
    <w:rsid w:val="00AB6C84"/>
    <w:rsid w:val="00AB6CD8"/>
    <w:rsid w:val="00AC0786"/>
    <w:rsid w:val="00AC12BC"/>
    <w:rsid w:val="00AC132B"/>
    <w:rsid w:val="00AC328B"/>
    <w:rsid w:val="00AC3B0C"/>
    <w:rsid w:val="00AC3B78"/>
    <w:rsid w:val="00AC4400"/>
    <w:rsid w:val="00AC483E"/>
    <w:rsid w:val="00AC6BAB"/>
    <w:rsid w:val="00AD10B4"/>
    <w:rsid w:val="00AD1604"/>
    <w:rsid w:val="00AD1DB7"/>
    <w:rsid w:val="00AD6126"/>
    <w:rsid w:val="00AE0027"/>
    <w:rsid w:val="00AE10F0"/>
    <w:rsid w:val="00AE1E63"/>
    <w:rsid w:val="00AE25DC"/>
    <w:rsid w:val="00AE62CA"/>
    <w:rsid w:val="00AE652E"/>
    <w:rsid w:val="00AE6703"/>
    <w:rsid w:val="00AE693B"/>
    <w:rsid w:val="00AE69E3"/>
    <w:rsid w:val="00AE6D1F"/>
    <w:rsid w:val="00AF1398"/>
    <w:rsid w:val="00AF14EB"/>
    <w:rsid w:val="00AF1A00"/>
    <w:rsid w:val="00AF2190"/>
    <w:rsid w:val="00AF250A"/>
    <w:rsid w:val="00AF2623"/>
    <w:rsid w:val="00AF3D23"/>
    <w:rsid w:val="00AF4747"/>
    <w:rsid w:val="00AF4818"/>
    <w:rsid w:val="00AF4A98"/>
    <w:rsid w:val="00AF68D5"/>
    <w:rsid w:val="00AF7B98"/>
    <w:rsid w:val="00B0027E"/>
    <w:rsid w:val="00B008EB"/>
    <w:rsid w:val="00B02035"/>
    <w:rsid w:val="00B022B3"/>
    <w:rsid w:val="00B02C80"/>
    <w:rsid w:val="00B039D3"/>
    <w:rsid w:val="00B03C26"/>
    <w:rsid w:val="00B0423D"/>
    <w:rsid w:val="00B05168"/>
    <w:rsid w:val="00B067A1"/>
    <w:rsid w:val="00B072E1"/>
    <w:rsid w:val="00B078E1"/>
    <w:rsid w:val="00B07CCA"/>
    <w:rsid w:val="00B10211"/>
    <w:rsid w:val="00B118A6"/>
    <w:rsid w:val="00B12A20"/>
    <w:rsid w:val="00B131D5"/>
    <w:rsid w:val="00B13D82"/>
    <w:rsid w:val="00B1517B"/>
    <w:rsid w:val="00B16919"/>
    <w:rsid w:val="00B16C34"/>
    <w:rsid w:val="00B2093D"/>
    <w:rsid w:val="00B20A3C"/>
    <w:rsid w:val="00B21095"/>
    <w:rsid w:val="00B24E47"/>
    <w:rsid w:val="00B2512E"/>
    <w:rsid w:val="00B261AF"/>
    <w:rsid w:val="00B27462"/>
    <w:rsid w:val="00B27F61"/>
    <w:rsid w:val="00B3132E"/>
    <w:rsid w:val="00B3226A"/>
    <w:rsid w:val="00B32B11"/>
    <w:rsid w:val="00B33010"/>
    <w:rsid w:val="00B35417"/>
    <w:rsid w:val="00B36DF2"/>
    <w:rsid w:val="00B36E3E"/>
    <w:rsid w:val="00B378F7"/>
    <w:rsid w:val="00B40729"/>
    <w:rsid w:val="00B4188A"/>
    <w:rsid w:val="00B423C5"/>
    <w:rsid w:val="00B4354D"/>
    <w:rsid w:val="00B4379D"/>
    <w:rsid w:val="00B43F2A"/>
    <w:rsid w:val="00B44571"/>
    <w:rsid w:val="00B449E7"/>
    <w:rsid w:val="00B464B4"/>
    <w:rsid w:val="00B46B8E"/>
    <w:rsid w:val="00B46FAF"/>
    <w:rsid w:val="00B50595"/>
    <w:rsid w:val="00B532B1"/>
    <w:rsid w:val="00B539CD"/>
    <w:rsid w:val="00B55AF6"/>
    <w:rsid w:val="00B5698D"/>
    <w:rsid w:val="00B571FE"/>
    <w:rsid w:val="00B572AA"/>
    <w:rsid w:val="00B5746B"/>
    <w:rsid w:val="00B57CBF"/>
    <w:rsid w:val="00B57EC5"/>
    <w:rsid w:val="00B60BF9"/>
    <w:rsid w:val="00B63025"/>
    <w:rsid w:val="00B65EB7"/>
    <w:rsid w:val="00B67465"/>
    <w:rsid w:val="00B70406"/>
    <w:rsid w:val="00B72ADC"/>
    <w:rsid w:val="00B730A8"/>
    <w:rsid w:val="00B74C4B"/>
    <w:rsid w:val="00B76376"/>
    <w:rsid w:val="00B76C1F"/>
    <w:rsid w:val="00B77F1F"/>
    <w:rsid w:val="00B80401"/>
    <w:rsid w:val="00B80E55"/>
    <w:rsid w:val="00B81899"/>
    <w:rsid w:val="00B81EAD"/>
    <w:rsid w:val="00B83EC3"/>
    <w:rsid w:val="00B83F62"/>
    <w:rsid w:val="00B845EF"/>
    <w:rsid w:val="00B8460B"/>
    <w:rsid w:val="00B8474D"/>
    <w:rsid w:val="00B84D97"/>
    <w:rsid w:val="00B85B09"/>
    <w:rsid w:val="00B87660"/>
    <w:rsid w:val="00B87FB1"/>
    <w:rsid w:val="00B9043D"/>
    <w:rsid w:val="00B912EF"/>
    <w:rsid w:val="00B91AD5"/>
    <w:rsid w:val="00B923E7"/>
    <w:rsid w:val="00B92993"/>
    <w:rsid w:val="00B93A04"/>
    <w:rsid w:val="00B944F1"/>
    <w:rsid w:val="00B95757"/>
    <w:rsid w:val="00B95C07"/>
    <w:rsid w:val="00BA09F9"/>
    <w:rsid w:val="00BA0D64"/>
    <w:rsid w:val="00BA3715"/>
    <w:rsid w:val="00BA3D19"/>
    <w:rsid w:val="00BA45D2"/>
    <w:rsid w:val="00BA529C"/>
    <w:rsid w:val="00BA5D37"/>
    <w:rsid w:val="00BB1364"/>
    <w:rsid w:val="00BB14A8"/>
    <w:rsid w:val="00BB4CE3"/>
    <w:rsid w:val="00BB585B"/>
    <w:rsid w:val="00BB5AF9"/>
    <w:rsid w:val="00BB6BB0"/>
    <w:rsid w:val="00BC0421"/>
    <w:rsid w:val="00BC0C09"/>
    <w:rsid w:val="00BC0C11"/>
    <w:rsid w:val="00BC2A57"/>
    <w:rsid w:val="00BC6FAF"/>
    <w:rsid w:val="00BC73A7"/>
    <w:rsid w:val="00BC7FE4"/>
    <w:rsid w:val="00BD184A"/>
    <w:rsid w:val="00BD1D4E"/>
    <w:rsid w:val="00BD2DCF"/>
    <w:rsid w:val="00BD389A"/>
    <w:rsid w:val="00BD52BC"/>
    <w:rsid w:val="00BD53C0"/>
    <w:rsid w:val="00BD6BD1"/>
    <w:rsid w:val="00BD760B"/>
    <w:rsid w:val="00BE0DA5"/>
    <w:rsid w:val="00BE1553"/>
    <w:rsid w:val="00BE230B"/>
    <w:rsid w:val="00BE310B"/>
    <w:rsid w:val="00BE47D3"/>
    <w:rsid w:val="00BE4DBF"/>
    <w:rsid w:val="00BE4E1F"/>
    <w:rsid w:val="00BE6493"/>
    <w:rsid w:val="00BE64F0"/>
    <w:rsid w:val="00BE767B"/>
    <w:rsid w:val="00BE7775"/>
    <w:rsid w:val="00BF0F46"/>
    <w:rsid w:val="00BF2276"/>
    <w:rsid w:val="00BF25EE"/>
    <w:rsid w:val="00BF2F13"/>
    <w:rsid w:val="00BF42BF"/>
    <w:rsid w:val="00BF68ED"/>
    <w:rsid w:val="00BF756F"/>
    <w:rsid w:val="00BF7E46"/>
    <w:rsid w:val="00C00B01"/>
    <w:rsid w:val="00C00BA1"/>
    <w:rsid w:val="00C02DD2"/>
    <w:rsid w:val="00C039FA"/>
    <w:rsid w:val="00C03C75"/>
    <w:rsid w:val="00C042C1"/>
    <w:rsid w:val="00C05475"/>
    <w:rsid w:val="00C07B82"/>
    <w:rsid w:val="00C104D4"/>
    <w:rsid w:val="00C118F0"/>
    <w:rsid w:val="00C11BD5"/>
    <w:rsid w:val="00C11CAD"/>
    <w:rsid w:val="00C1402B"/>
    <w:rsid w:val="00C14951"/>
    <w:rsid w:val="00C1505B"/>
    <w:rsid w:val="00C1515E"/>
    <w:rsid w:val="00C162FB"/>
    <w:rsid w:val="00C165A0"/>
    <w:rsid w:val="00C16A2E"/>
    <w:rsid w:val="00C16F45"/>
    <w:rsid w:val="00C17741"/>
    <w:rsid w:val="00C2279C"/>
    <w:rsid w:val="00C22F7B"/>
    <w:rsid w:val="00C23CB1"/>
    <w:rsid w:val="00C243E2"/>
    <w:rsid w:val="00C2520A"/>
    <w:rsid w:val="00C252A2"/>
    <w:rsid w:val="00C2572A"/>
    <w:rsid w:val="00C26C47"/>
    <w:rsid w:val="00C271EF"/>
    <w:rsid w:val="00C3056C"/>
    <w:rsid w:val="00C311C8"/>
    <w:rsid w:val="00C312EC"/>
    <w:rsid w:val="00C35709"/>
    <w:rsid w:val="00C3579A"/>
    <w:rsid w:val="00C374E0"/>
    <w:rsid w:val="00C40791"/>
    <w:rsid w:val="00C41198"/>
    <w:rsid w:val="00C431C0"/>
    <w:rsid w:val="00C43E2E"/>
    <w:rsid w:val="00C44815"/>
    <w:rsid w:val="00C452C0"/>
    <w:rsid w:val="00C45849"/>
    <w:rsid w:val="00C45E7A"/>
    <w:rsid w:val="00C467C8"/>
    <w:rsid w:val="00C47760"/>
    <w:rsid w:val="00C47D39"/>
    <w:rsid w:val="00C53A61"/>
    <w:rsid w:val="00C568B8"/>
    <w:rsid w:val="00C57E00"/>
    <w:rsid w:val="00C60457"/>
    <w:rsid w:val="00C61C59"/>
    <w:rsid w:val="00C63705"/>
    <w:rsid w:val="00C637AE"/>
    <w:rsid w:val="00C639B7"/>
    <w:rsid w:val="00C63E7F"/>
    <w:rsid w:val="00C64230"/>
    <w:rsid w:val="00C65A0B"/>
    <w:rsid w:val="00C6655E"/>
    <w:rsid w:val="00C66F05"/>
    <w:rsid w:val="00C704DE"/>
    <w:rsid w:val="00C7181E"/>
    <w:rsid w:val="00C7290D"/>
    <w:rsid w:val="00C750D4"/>
    <w:rsid w:val="00C755B7"/>
    <w:rsid w:val="00C7696B"/>
    <w:rsid w:val="00C76A0A"/>
    <w:rsid w:val="00C76B42"/>
    <w:rsid w:val="00C76DED"/>
    <w:rsid w:val="00C77095"/>
    <w:rsid w:val="00C77D73"/>
    <w:rsid w:val="00C77FAE"/>
    <w:rsid w:val="00C80C15"/>
    <w:rsid w:val="00C80D8E"/>
    <w:rsid w:val="00C816B0"/>
    <w:rsid w:val="00C81BC4"/>
    <w:rsid w:val="00C81D75"/>
    <w:rsid w:val="00C84904"/>
    <w:rsid w:val="00C8508C"/>
    <w:rsid w:val="00C87B79"/>
    <w:rsid w:val="00C90466"/>
    <w:rsid w:val="00C912E0"/>
    <w:rsid w:val="00C9192B"/>
    <w:rsid w:val="00C92A15"/>
    <w:rsid w:val="00C92BAA"/>
    <w:rsid w:val="00C92EE4"/>
    <w:rsid w:val="00C945B0"/>
    <w:rsid w:val="00C9506E"/>
    <w:rsid w:val="00C95C67"/>
    <w:rsid w:val="00C962FC"/>
    <w:rsid w:val="00C971BF"/>
    <w:rsid w:val="00C97D60"/>
    <w:rsid w:val="00CA056A"/>
    <w:rsid w:val="00CA292B"/>
    <w:rsid w:val="00CA3D19"/>
    <w:rsid w:val="00CA5887"/>
    <w:rsid w:val="00CA5F20"/>
    <w:rsid w:val="00CA60E0"/>
    <w:rsid w:val="00CA78B0"/>
    <w:rsid w:val="00CB13CB"/>
    <w:rsid w:val="00CB1BA3"/>
    <w:rsid w:val="00CB1D98"/>
    <w:rsid w:val="00CB1DDF"/>
    <w:rsid w:val="00CB1F34"/>
    <w:rsid w:val="00CB2440"/>
    <w:rsid w:val="00CB2BBB"/>
    <w:rsid w:val="00CB3940"/>
    <w:rsid w:val="00CB3991"/>
    <w:rsid w:val="00CB3AF5"/>
    <w:rsid w:val="00CB3F80"/>
    <w:rsid w:val="00CB4036"/>
    <w:rsid w:val="00CB447D"/>
    <w:rsid w:val="00CB45E7"/>
    <w:rsid w:val="00CB4CA6"/>
    <w:rsid w:val="00CB71F1"/>
    <w:rsid w:val="00CB7B01"/>
    <w:rsid w:val="00CC0E6E"/>
    <w:rsid w:val="00CC124D"/>
    <w:rsid w:val="00CC1D26"/>
    <w:rsid w:val="00CC22CB"/>
    <w:rsid w:val="00CC2FE2"/>
    <w:rsid w:val="00CC3E0B"/>
    <w:rsid w:val="00CC4528"/>
    <w:rsid w:val="00CC5502"/>
    <w:rsid w:val="00CC6A20"/>
    <w:rsid w:val="00CC7A49"/>
    <w:rsid w:val="00CD03AB"/>
    <w:rsid w:val="00CD0D76"/>
    <w:rsid w:val="00CD1D89"/>
    <w:rsid w:val="00CD26D9"/>
    <w:rsid w:val="00CD321E"/>
    <w:rsid w:val="00CD3989"/>
    <w:rsid w:val="00CD3F18"/>
    <w:rsid w:val="00CD4517"/>
    <w:rsid w:val="00CD47E4"/>
    <w:rsid w:val="00CD6140"/>
    <w:rsid w:val="00CD72DB"/>
    <w:rsid w:val="00CE03A5"/>
    <w:rsid w:val="00CE044D"/>
    <w:rsid w:val="00CE1139"/>
    <w:rsid w:val="00CE1BFB"/>
    <w:rsid w:val="00CE21A0"/>
    <w:rsid w:val="00CE2A29"/>
    <w:rsid w:val="00CE312B"/>
    <w:rsid w:val="00CE3553"/>
    <w:rsid w:val="00CE3CA9"/>
    <w:rsid w:val="00CE4CB1"/>
    <w:rsid w:val="00CE52B8"/>
    <w:rsid w:val="00CE6821"/>
    <w:rsid w:val="00CE78BE"/>
    <w:rsid w:val="00CF026B"/>
    <w:rsid w:val="00CF09B2"/>
    <w:rsid w:val="00CF1863"/>
    <w:rsid w:val="00CF2225"/>
    <w:rsid w:val="00CF2DA0"/>
    <w:rsid w:val="00CF3185"/>
    <w:rsid w:val="00CF3BB7"/>
    <w:rsid w:val="00CF4FAA"/>
    <w:rsid w:val="00CF6C14"/>
    <w:rsid w:val="00CF6EB8"/>
    <w:rsid w:val="00CF79C1"/>
    <w:rsid w:val="00CF7A7E"/>
    <w:rsid w:val="00D00A31"/>
    <w:rsid w:val="00D01E2F"/>
    <w:rsid w:val="00D02093"/>
    <w:rsid w:val="00D0242A"/>
    <w:rsid w:val="00D02E18"/>
    <w:rsid w:val="00D03153"/>
    <w:rsid w:val="00D048AF"/>
    <w:rsid w:val="00D06CE4"/>
    <w:rsid w:val="00D07222"/>
    <w:rsid w:val="00D10198"/>
    <w:rsid w:val="00D10BCD"/>
    <w:rsid w:val="00D113F2"/>
    <w:rsid w:val="00D12BCD"/>
    <w:rsid w:val="00D13479"/>
    <w:rsid w:val="00D17711"/>
    <w:rsid w:val="00D1780D"/>
    <w:rsid w:val="00D22718"/>
    <w:rsid w:val="00D22DFE"/>
    <w:rsid w:val="00D236DB"/>
    <w:rsid w:val="00D24BFE"/>
    <w:rsid w:val="00D25E66"/>
    <w:rsid w:val="00D31D28"/>
    <w:rsid w:val="00D321F4"/>
    <w:rsid w:val="00D32A8B"/>
    <w:rsid w:val="00D32C8A"/>
    <w:rsid w:val="00D3320F"/>
    <w:rsid w:val="00D37843"/>
    <w:rsid w:val="00D4012C"/>
    <w:rsid w:val="00D4067A"/>
    <w:rsid w:val="00D42916"/>
    <w:rsid w:val="00D42F16"/>
    <w:rsid w:val="00D43B13"/>
    <w:rsid w:val="00D43D9C"/>
    <w:rsid w:val="00D450BD"/>
    <w:rsid w:val="00D45787"/>
    <w:rsid w:val="00D45D6B"/>
    <w:rsid w:val="00D4630B"/>
    <w:rsid w:val="00D46D3B"/>
    <w:rsid w:val="00D46E25"/>
    <w:rsid w:val="00D471FD"/>
    <w:rsid w:val="00D50506"/>
    <w:rsid w:val="00D5082A"/>
    <w:rsid w:val="00D50A1D"/>
    <w:rsid w:val="00D52945"/>
    <w:rsid w:val="00D53017"/>
    <w:rsid w:val="00D54D60"/>
    <w:rsid w:val="00D5655B"/>
    <w:rsid w:val="00D56B30"/>
    <w:rsid w:val="00D60503"/>
    <w:rsid w:val="00D60671"/>
    <w:rsid w:val="00D6166D"/>
    <w:rsid w:val="00D616FB"/>
    <w:rsid w:val="00D62AAA"/>
    <w:rsid w:val="00D62EF4"/>
    <w:rsid w:val="00D63702"/>
    <w:rsid w:val="00D641DD"/>
    <w:rsid w:val="00D6455F"/>
    <w:rsid w:val="00D67C2F"/>
    <w:rsid w:val="00D67F33"/>
    <w:rsid w:val="00D7033E"/>
    <w:rsid w:val="00D70C5B"/>
    <w:rsid w:val="00D70EBE"/>
    <w:rsid w:val="00D715B4"/>
    <w:rsid w:val="00D71D79"/>
    <w:rsid w:val="00D71E72"/>
    <w:rsid w:val="00D72AE8"/>
    <w:rsid w:val="00D73019"/>
    <w:rsid w:val="00D758CC"/>
    <w:rsid w:val="00D779DF"/>
    <w:rsid w:val="00D80A2D"/>
    <w:rsid w:val="00D82CBD"/>
    <w:rsid w:val="00D838AF"/>
    <w:rsid w:val="00D87688"/>
    <w:rsid w:val="00D907BF"/>
    <w:rsid w:val="00D90A05"/>
    <w:rsid w:val="00D91525"/>
    <w:rsid w:val="00D93E3A"/>
    <w:rsid w:val="00D9476A"/>
    <w:rsid w:val="00D95025"/>
    <w:rsid w:val="00D95901"/>
    <w:rsid w:val="00D95B6B"/>
    <w:rsid w:val="00D9719D"/>
    <w:rsid w:val="00DA0C63"/>
    <w:rsid w:val="00DA23F3"/>
    <w:rsid w:val="00DA2770"/>
    <w:rsid w:val="00DA2BF4"/>
    <w:rsid w:val="00DA37F5"/>
    <w:rsid w:val="00DA44E1"/>
    <w:rsid w:val="00DA74FF"/>
    <w:rsid w:val="00DA7FE8"/>
    <w:rsid w:val="00DB2F2B"/>
    <w:rsid w:val="00DB660B"/>
    <w:rsid w:val="00DC0441"/>
    <w:rsid w:val="00DC0ADF"/>
    <w:rsid w:val="00DC0F76"/>
    <w:rsid w:val="00DC26AF"/>
    <w:rsid w:val="00DC28DF"/>
    <w:rsid w:val="00DC2E88"/>
    <w:rsid w:val="00DC5037"/>
    <w:rsid w:val="00DC5B81"/>
    <w:rsid w:val="00DC5E6C"/>
    <w:rsid w:val="00DC6243"/>
    <w:rsid w:val="00DD0794"/>
    <w:rsid w:val="00DD240B"/>
    <w:rsid w:val="00DD2419"/>
    <w:rsid w:val="00DD282A"/>
    <w:rsid w:val="00DD2985"/>
    <w:rsid w:val="00DD3AF4"/>
    <w:rsid w:val="00DD4579"/>
    <w:rsid w:val="00DD4C0C"/>
    <w:rsid w:val="00DD6D11"/>
    <w:rsid w:val="00DD707F"/>
    <w:rsid w:val="00DD712C"/>
    <w:rsid w:val="00DD756D"/>
    <w:rsid w:val="00DD75DB"/>
    <w:rsid w:val="00DD7889"/>
    <w:rsid w:val="00DD7CB9"/>
    <w:rsid w:val="00DE01F7"/>
    <w:rsid w:val="00DE194B"/>
    <w:rsid w:val="00DE1956"/>
    <w:rsid w:val="00DE4BE6"/>
    <w:rsid w:val="00DE59B6"/>
    <w:rsid w:val="00DE6CEA"/>
    <w:rsid w:val="00DF0924"/>
    <w:rsid w:val="00DF3D8C"/>
    <w:rsid w:val="00DF5287"/>
    <w:rsid w:val="00DF555F"/>
    <w:rsid w:val="00DF674A"/>
    <w:rsid w:val="00DF6BA2"/>
    <w:rsid w:val="00DF6FA5"/>
    <w:rsid w:val="00DF799E"/>
    <w:rsid w:val="00E01D57"/>
    <w:rsid w:val="00E02570"/>
    <w:rsid w:val="00E04B4E"/>
    <w:rsid w:val="00E05333"/>
    <w:rsid w:val="00E06058"/>
    <w:rsid w:val="00E060E1"/>
    <w:rsid w:val="00E06E4F"/>
    <w:rsid w:val="00E1004A"/>
    <w:rsid w:val="00E105CC"/>
    <w:rsid w:val="00E12538"/>
    <w:rsid w:val="00E136DF"/>
    <w:rsid w:val="00E13DF0"/>
    <w:rsid w:val="00E146EC"/>
    <w:rsid w:val="00E1482C"/>
    <w:rsid w:val="00E15582"/>
    <w:rsid w:val="00E16F2F"/>
    <w:rsid w:val="00E174BA"/>
    <w:rsid w:val="00E17656"/>
    <w:rsid w:val="00E1793F"/>
    <w:rsid w:val="00E179E8"/>
    <w:rsid w:val="00E17E64"/>
    <w:rsid w:val="00E21957"/>
    <w:rsid w:val="00E22ADD"/>
    <w:rsid w:val="00E24F05"/>
    <w:rsid w:val="00E25609"/>
    <w:rsid w:val="00E26FE5"/>
    <w:rsid w:val="00E272B4"/>
    <w:rsid w:val="00E3156C"/>
    <w:rsid w:val="00E34240"/>
    <w:rsid w:val="00E34766"/>
    <w:rsid w:val="00E354FB"/>
    <w:rsid w:val="00E35D10"/>
    <w:rsid w:val="00E35DC4"/>
    <w:rsid w:val="00E373D6"/>
    <w:rsid w:val="00E37936"/>
    <w:rsid w:val="00E4294B"/>
    <w:rsid w:val="00E43A96"/>
    <w:rsid w:val="00E4432D"/>
    <w:rsid w:val="00E44BD4"/>
    <w:rsid w:val="00E44E36"/>
    <w:rsid w:val="00E465E2"/>
    <w:rsid w:val="00E46EEF"/>
    <w:rsid w:val="00E473D5"/>
    <w:rsid w:val="00E4791B"/>
    <w:rsid w:val="00E47E12"/>
    <w:rsid w:val="00E50652"/>
    <w:rsid w:val="00E51B78"/>
    <w:rsid w:val="00E53810"/>
    <w:rsid w:val="00E56B00"/>
    <w:rsid w:val="00E5770F"/>
    <w:rsid w:val="00E603AB"/>
    <w:rsid w:val="00E6234B"/>
    <w:rsid w:val="00E6268C"/>
    <w:rsid w:val="00E63C3D"/>
    <w:rsid w:val="00E7176A"/>
    <w:rsid w:val="00E7182D"/>
    <w:rsid w:val="00E72134"/>
    <w:rsid w:val="00E733E3"/>
    <w:rsid w:val="00E742C7"/>
    <w:rsid w:val="00E7444E"/>
    <w:rsid w:val="00E75525"/>
    <w:rsid w:val="00E81360"/>
    <w:rsid w:val="00E828B2"/>
    <w:rsid w:val="00E84308"/>
    <w:rsid w:val="00E85D83"/>
    <w:rsid w:val="00E86271"/>
    <w:rsid w:val="00E86820"/>
    <w:rsid w:val="00E9092D"/>
    <w:rsid w:val="00E912AC"/>
    <w:rsid w:val="00E91D68"/>
    <w:rsid w:val="00E920C4"/>
    <w:rsid w:val="00E9246E"/>
    <w:rsid w:val="00E92A86"/>
    <w:rsid w:val="00E92AC4"/>
    <w:rsid w:val="00E92ADD"/>
    <w:rsid w:val="00E93001"/>
    <w:rsid w:val="00E9482A"/>
    <w:rsid w:val="00E956A7"/>
    <w:rsid w:val="00E95AE3"/>
    <w:rsid w:val="00E95FCA"/>
    <w:rsid w:val="00E9672D"/>
    <w:rsid w:val="00E9736A"/>
    <w:rsid w:val="00EA211C"/>
    <w:rsid w:val="00EA7157"/>
    <w:rsid w:val="00EA7556"/>
    <w:rsid w:val="00EB179B"/>
    <w:rsid w:val="00EB2644"/>
    <w:rsid w:val="00EB29B0"/>
    <w:rsid w:val="00EB424F"/>
    <w:rsid w:val="00EB4FF1"/>
    <w:rsid w:val="00EB57B6"/>
    <w:rsid w:val="00EB5ECF"/>
    <w:rsid w:val="00EB6253"/>
    <w:rsid w:val="00EB6EBA"/>
    <w:rsid w:val="00EB7749"/>
    <w:rsid w:val="00EB7755"/>
    <w:rsid w:val="00EB7E1A"/>
    <w:rsid w:val="00EC1C09"/>
    <w:rsid w:val="00EC336C"/>
    <w:rsid w:val="00EC4C43"/>
    <w:rsid w:val="00EC540C"/>
    <w:rsid w:val="00EC5AD7"/>
    <w:rsid w:val="00EC5F7D"/>
    <w:rsid w:val="00EC73E6"/>
    <w:rsid w:val="00ED08C4"/>
    <w:rsid w:val="00ED1DC8"/>
    <w:rsid w:val="00ED417A"/>
    <w:rsid w:val="00ED420C"/>
    <w:rsid w:val="00ED5245"/>
    <w:rsid w:val="00ED5543"/>
    <w:rsid w:val="00ED7195"/>
    <w:rsid w:val="00EE1D5A"/>
    <w:rsid w:val="00EE1E70"/>
    <w:rsid w:val="00EE2F7E"/>
    <w:rsid w:val="00EE33C6"/>
    <w:rsid w:val="00EE4E62"/>
    <w:rsid w:val="00EE578B"/>
    <w:rsid w:val="00EE6475"/>
    <w:rsid w:val="00EE7DBE"/>
    <w:rsid w:val="00EF06DE"/>
    <w:rsid w:val="00EF088E"/>
    <w:rsid w:val="00EF0981"/>
    <w:rsid w:val="00EF14E8"/>
    <w:rsid w:val="00EF266E"/>
    <w:rsid w:val="00EF30C7"/>
    <w:rsid w:val="00EF38FC"/>
    <w:rsid w:val="00EF41AC"/>
    <w:rsid w:val="00EF44B9"/>
    <w:rsid w:val="00EF4944"/>
    <w:rsid w:val="00EF50C6"/>
    <w:rsid w:val="00EF5E53"/>
    <w:rsid w:val="00EF68D7"/>
    <w:rsid w:val="00EF6D24"/>
    <w:rsid w:val="00F001B3"/>
    <w:rsid w:val="00F010C0"/>
    <w:rsid w:val="00F054D1"/>
    <w:rsid w:val="00F07418"/>
    <w:rsid w:val="00F07684"/>
    <w:rsid w:val="00F07D92"/>
    <w:rsid w:val="00F10BE2"/>
    <w:rsid w:val="00F10DBF"/>
    <w:rsid w:val="00F123D1"/>
    <w:rsid w:val="00F146CD"/>
    <w:rsid w:val="00F1497F"/>
    <w:rsid w:val="00F15556"/>
    <w:rsid w:val="00F15CC9"/>
    <w:rsid w:val="00F15E39"/>
    <w:rsid w:val="00F163AA"/>
    <w:rsid w:val="00F17F1C"/>
    <w:rsid w:val="00F2025D"/>
    <w:rsid w:val="00F20B25"/>
    <w:rsid w:val="00F20BBA"/>
    <w:rsid w:val="00F214B4"/>
    <w:rsid w:val="00F21C33"/>
    <w:rsid w:val="00F21D6C"/>
    <w:rsid w:val="00F23A69"/>
    <w:rsid w:val="00F23E6E"/>
    <w:rsid w:val="00F2438F"/>
    <w:rsid w:val="00F2442D"/>
    <w:rsid w:val="00F25048"/>
    <w:rsid w:val="00F25E91"/>
    <w:rsid w:val="00F26C8F"/>
    <w:rsid w:val="00F275D9"/>
    <w:rsid w:val="00F27681"/>
    <w:rsid w:val="00F2772A"/>
    <w:rsid w:val="00F31CD0"/>
    <w:rsid w:val="00F31F6D"/>
    <w:rsid w:val="00F34F83"/>
    <w:rsid w:val="00F35D0A"/>
    <w:rsid w:val="00F35D9A"/>
    <w:rsid w:val="00F36EAC"/>
    <w:rsid w:val="00F37431"/>
    <w:rsid w:val="00F37641"/>
    <w:rsid w:val="00F37E4D"/>
    <w:rsid w:val="00F420A8"/>
    <w:rsid w:val="00F426FC"/>
    <w:rsid w:val="00F43347"/>
    <w:rsid w:val="00F4348F"/>
    <w:rsid w:val="00F43939"/>
    <w:rsid w:val="00F469F9"/>
    <w:rsid w:val="00F4723C"/>
    <w:rsid w:val="00F47CDC"/>
    <w:rsid w:val="00F51CC3"/>
    <w:rsid w:val="00F51EF4"/>
    <w:rsid w:val="00F53E1A"/>
    <w:rsid w:val="00F55C1F"/>
    <w:rsid w:val="00F56639"/>
    <w:rsid w:val="00F568C3"/>
    <w:rsid w:val="00F57098"/>
    <w:rsid w:val="00F62280"/>
    <w:rsid w:val="00F62B4F"/>
    <w:rsid w:val="00F62EB0"/>
    <w:rsid w:val="00F62F65"/>
    <w:rsid w:val="00F639C3"/>
    <w:rsid w:val="00F643C7"/>
    <w:rsid w:val="00F65210"/>
    <w:rsid w:val="00F66C35"/>
    <w:rsid w:val="00F672CB"/>
    <w:rsid w:val="00F674E9"/>
    <w:rsid w:val="00F67C8C"/>
    <w:rsid w:val="00F7271E"/>
    <w:rsid w:val="00F72A42"/>
    <w:rsid w:val="00F72BC4"/>
    <w:rsid w:val="00F73521"/>
    <w:rsid w:val="00F75303"/>
    <w:rsid w:val="00F76E21"/>
    <w:rsid w:val="00F76F91"/>
    <w:rsid w:val="00F77551"/>
    <w:rsid w:val="00F80010"/>
    <w:rsid w:val="00F82DE8"/>
    <w:rsid w:val="00F83B6D"/>
    <w:rsid w:val="00F840C8"/>
    <w:rsid w:val="00F842AB"/>
    <w:rsid w:val="00F8441A"/>
    <w:rsid w:val="00F84F35"/>
    <w:rsid w:val="00F8644B"/>
    <w:rsid w:val="00F9048F"/>
    <w:rsid w:val="00F906EC"/>
    <w:rsid w:val="00F910C3"/>
    <w:rsid w:val="00F91815"/>
    <w:rsid w:val="00F91A94"/>
    <w:rsid w:val="00F942C5"/>
    <w:rsid w:val="00F946FB"/>
    <w:rsid w:val="00F94C21"/>
    <w:rsid w:val="00F95DA3"/>
    <w:rsid w:val="00F97DE2"/>
    <w:rsid w:val="00FA2724"/>
    <w:rsid w:val="00FA416F"/>
    <w:rsid w:val="00FA4C7B"/>
    <w:rsid w:val="00FA6BB1"/>
    <w:rsid w:val="00FA6E37"/>
    <w:rsid w:val="00FA6F0C"/>
    <w:rsid w:val="00FB03D7"/>
    <w:rsid w:val="00FB06BA"/>
    <w:rsid w:val="00FB1D5C"/>
    <w:rsid w:val="00FB2E10"/>
    <w:rsid w:val="00FB4994"/>
    <w:rsid w:val="00FB4C63"/>
    <w:rsid w:val="00FB6E51"/>
    <w:rsid w:val="00FC0071"/>
    <w:rsid w:val="00FC07BB"/>
    <w:rsid w:val="00FC1635"/>
    <w:rsid w:val="00FC293A"/>
    <w:rsid w:val="00FC3306"/>
    <w:rsid w:val="00FC44A3"/>
    <w:rsid w:val="00FC5043"/>
    <w:rsid w:val="00FC65B5"/>
    <w:rsid w:val="00FC751A"/>
    <w:rsid w:val="00FD0697"/>
    <w:rsid w:val="00FD1225"/>
    <w:rsid w:val="00FD2B47"/>
    <w:rsid w:val="00FD5059"/>
    <w:rsid w:val="00FD5788"/>
    <w:rsid w:val="00FD6167"/>
    <w:rsid w:val="00FD694C"/>
    <w:rsid w:val="00FD75F4"/>
    <w:rsid w:val="00FE074D"/>
    <w:rsid w:val="00FE18CC"/>
    <w:rsid w:val="00FE247E"/>
    <w:rsid w:val="00FE2F00"/>
    <w:rsid w:val="00FE3D71"/>
    <w:rsid w:val="00FE4496"/>
    <w:rsid w:val="00FE4844"/>
    <w:rsid w:val="00FE5479"/>
    <w:rsid w:val="00FE55F5"/>
    <w:rsid w:val="00FE64DA"/>
    <w:rsid w:val="00FF0947"/>
    <w:rsid w:val="00FF4D1C"/>
    <w:rsid w:val="00FF5EE0"/>
    <w:rsid w:val="00FF6954"/>
    <w:rsid w:val="00FF6C13"/>
    <w:rsid w:val="00FF6E31"/>
    <w:rsid w:val="00FF6EE1"/>
    <w:rsid w:val="00FF7754"/>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938"/>
    <w:rPr>
      <w:lang w:eastAsia="en-US"/>
    </w:rPr>
  </w:style>
  <w:style w:type="paragraph" w:styleId="Heading1">
    <w:name w:val="heading 1"/>
    <w:basedOn w:val="Normal"/>
    <w:next w:val="Normal"/>
    <w:qFormat/>
    <w:rsid w:val="00027938"/>
    <w:pPr>
      <w:keepNext/>
      <w:outlineLvl w:val="0"/>
    </w:pPr>
    <w:rPr>
      <w:rFonts w:ascii="Arial Narrow" w:hAnsi="Arial Narrow"/>
      <w:sz w:val="24"/>
      <w:u w:val="single"/>
    </w:rPr>
  </w:style>
  <w:style w:type="paragraph" w:styleId="Heading2">
    <w:name w:val="heading 2"/>
    <w:basedOn w:val="Normal"/>
    <w:next w:val="Normal"/>
    <w:qFormat/>
    <w:rsid w:val="00027938"/>
    <w:pPr>
      <w:keepNext/>
      <w:jc w:val="right"/>
      <w:outlineLvl w:val="1"/>
    </w:pPr>
    <w:rPr>
      <w:rFonts w:ascii="Tahoma" w:hAnsi="Tahoma"/>
      <w:sz w:val="22"/>
      <w:u w:val="single"/>
    </w:rPr>
  </w:style>
  <w:style w:type="paragraph" w:styleId="Heading3">
    <w:name w:val="heading 3"/>
    <w:basedOn w:val="Normal"/>
    <w:next w:val="Normal"/>
    <w:qFormat/>
    <w:rsid w:val="00027938"/>
    <w:pPr>
      <w:keepNext/>
      <w:jc w:val="both"/>
      <w:outlineLvl w:val="2"/>
    </w:pPr>
    <w:rPr>
      <w:rFonts w:ascii="Tahoma" w:hAnsi="Tahoma"/>
      <w:sz w:val="22"/>
      <w:u w:val="single"/>
    </w:rPr>
  </w:style>
  <w:style w:type="paragraph" w:styleId="Heading4">
    <w:name w:val="heading 4"/>
    <w:basedOn w:val="Normal"/>
    <w:next w:val="Normal"/>
    <w:qFormat/>
    <w:rsid w:val="00027938"/>
    <w:pPr>
      <w:keepNext/>
      <w:jc w:val="both"/>
      <w:outlineLvl w:val="3"/>
    </w:pPr>
    <w:rPr>
      <w:rFonts w:ascii="Tahoma" w:hAnsi="Tahoma"/>
      <w:b/>
      <w:sz w:val="22"/>
    </w:rPr>
  </w:style>
  <w:style w:type="paragraph" w:styleId="Heading5">
    <w:name w:val="heading 5"/>
    <w:basedOn w:val="Normal"/>
    <w:next w:val="Normal"/>
    <w:qFormat/>
    <w:rsid w:val="00027938"/>
    <w:pPr>
      <w:keepNext/>
      <w:jc w:val="both"/>
      <w:outlineLvl w:val="4"/>
    </w:pPr>
    <w:rPr>
      <w:rFonts w:ascii="Tahoma" w:hAnsi="Tahoma"/>
      <w:sz w:val="18"/>
      <w:u w:val="single"/>
    </w:rPr>
  </w:style>
  <w:style w:type="paragraph" w:styleId="Heading6">
    <w:name w:val="heading 6"/>
    <w:basedOn w:val="Normal"/>
    <w:next w:val="Normal"/>
    <w:qFormat/>
    <w:rsid w:val="00027938"/>
    <w:pPr>
      <w:keepNext/>
      <w:jc w:val="both"/>
      <w:outlineLvl w:val="5"/>
    </w:pPr>
    <w:rPr>
      <w:b/>
      <w:bCs/>
    </w:rPr>
  </w:style>
  <w:style w:type="paragraph" w:styleId="Heading7">
    <w:name w:val="heading 7"/>
    <w:basedOn w:val="Normal"/>
    <w:next w:val="Normal"/>
    <w:qFormat/>
    <w:rsid w:val="00027938"/>
    <w:pPr>
      <w:keepNext/>
      <w:jc w:val="both"/>
      <w:outlineLvl w:val="6"/>
    </w:pPr>
    <w:rPr>
      <w:rFonts w:ascii="Tahoma" w:hAnsi="Tahoma" w:cs="Tahoma"/>
      <w:u w:val="single"/>
    </w:rPr>
  </w:style>
  <w:style w:type="paragraph" w:styleId="Heading8">
    <w:name w:val="heading 8"/>
    <w:basedOn w:val="Normal"/>
    <w:next w:val="Normal"/>
    <w:qFormat/>
    <w:rsid w:val="00027938"/>
    <w:pPr>
      <w:keepNext/>
      <w:ind w:left="720" w:hanging="720"/>
      <w:jc w:val="both"/>
      <w:outlineLvl w:val="7"/>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7938"/>
    <w:pPr>
      <w:jc w:val="both"/>
    </w:pPr>
    <w:rPr>
      <w:rFonts w:ascii="Tahoma" w:hAnsi="Tahoma"/>
      <w:sz w:val="22"/>
    </w:rPr>
  </w:style>
  <w:style w:type="paragraph" w:styleId="BodyTextIndent">
    <w:name w:val="Body Text Indent"/>
    <w:basedOn w:val="Normal"/>
    <w:rsid w:val="00027938"/>
    <w:pPr>
      <w:ind w:left="720"/>
      <w:jc w:val="both"/>
    </w:pPr>
    <w:rPr>
      <w:rFonts w:ascii="Tahoma" w:hAnsi="Tahoma"/>
      <w:sz w:val="22"/>
    </w:rPr>
  </w:style>
  <w:style w:type="paragraph" w:styleId="BodyText2">
    <w:name w:val="Body Text 2"/>
    <w:basedOn w:val="Normal"/>
    <w:rsid w:val="00027938"/>
    <w:pPr>
      <w:jc w:val="both"/>
    </w:pPr>
    <w:rPr>
      <w:rFonts w:ascii="Tahoma" w:hAnsi="Tahoma"/>
      <w:sz w:val="22"/>
    </w:rPr>
  </w:style>
  <w:style w:type="paragraph" w:styleId="BodyTextIndent3">
    <w:name w:val="Body Text Indent 3"/>
    <w:basedOn w:val="Normal"/>
    <w:rsid w:val="00027938"/>
    <w:pPr>
      <w:ind w:left="720" w:hanging="720"/>
      <w:jc w:val="both"/>
    </w:pPr>
    <w:rPr>
      <w:rFonts w:ascii="Tahoma" w:hAnsi="Tahoma"/>
      <w:sz w:val="22"/>
    </w:rPr>
  </w:style>
  <w:style w:type="paragraph" w:styleId="BodyText3">
    <w:name w:val="Body Text 3"/>
    <w:basedOn w:val="Normal"/>
    <w:rsid w:val="00027938"/>
    <w:pPr>
      <w:jc w:val="both"/>
    </w:pPr>
    <w:rPr>
      <w:rFonts w:ascii="Tahoma" w:hAnsi="Tahoma"/>
      <w:b/>
      <w:sz w:val="22"/>
    </w:rPr>
  </w:style>
  <w:style w:type="paragraph" w:styleId="Footer">
    <w:name w:val="footer"/>
    <w:basedOn w:val="Normal"/>
    <w:rsid w:val="00027938"/>
    <w:pPr>
      <w:tabs>
        <w:tab w:val="center" w:pos="4320"/>
        <w:tab w:val="right" w:pos="8640"/>
      </w:tabs>
    </w:pPr>
  </w:style>
  <w:style w:type="character" w:styleId="PageNumber">
    <w:name w:val="page number"/>
    <w:basedOn w:val="DefaultParagraphFont"/>
    <w:rsid w:val="00027938"/>
  </w:style>
  <w:style w:type="paragraph" w:styleId="Header">
    <w:name w:val="header"/>
    <w:basedOn w:val="Normal"/>
    <w:rsid w:val="00027938"/>
    <w:pPr>
      <w:tabs>
        <w:tab w:val="center" w:pos="4320"/>
        <w:tab w:val="right" w:pos="8640"/>
      </w:tabs>
    </w:pPr>
  </w:style>
  <w:style w:type="paragraph" w:styleId="BodyTextIndent2">
    <w:name w:val="Body Text Indent 2"/>
    <w:basedOn w:val="Normal"/>
    <w:rsid w:val="00027938"/>
    <w:pPr>
      <w:ind w:left="720" w:hanging="720"/>
      <w:jc w:val="both"/>
    </w:pPr>
    <w:rPr>
      <w:rFonts w:ascii="Tahoma" w:hAnsi="Tahoma"/>
      <w:b/>
      <w:sz w:val="22"/>
    </w:rPr>
  </w:style>
  <w:style w:type="paragraph" w:customStyle="1" w:styleId="DefaultText">
    <w:name w:val="Default Text"/>
    <w:basedOn w:val="Normal"/>
    <w:rsid w:val="00027938"/>
    <w:rPr>
      <w:snapToGrid w:val="0"/>
      <w:sz w:val="24"/>
    </w:rPr>
  </w:style>
  <w:style w:type="paragraph" w:styleId="BlockText">
    <w:name w:val="Block Text"/>
    <w:basedOn w:val="Normal"/>
    <w:rsid w:val="00027938"/>
    <w:pPr>
      <w:ind w:left="360" w:right="43"/>
      <w:jc w:val="both"/>
    </w:pPr>
    <w:rPr>
      <w:iCs/>
      <w:sz w:val="24"/>
      <w:szCs w:val="24"/>
    </w:rPr>
  </w:style>
  <w:style w:type="paragraph" w:customStyle="1" w:styleId="font0">
    <w:name w:val="font0"/>
    <w:basedOn w:val="Normal"/>
    <w:rsid w:val="00573096"/>
    <w:pPr>
      <w:spacing w:before="100" w:after="100"/>
    </w:pPr>
    <w:rPr>
      <w:rFonts w:ascii="Arial" w:eastAsia="PMingLiU" w:hAnsi="Arial"/>
    </w:rPr>
  </w:style>
  <w:style w:type="paragraph" w:customStyle="1" w:styleId="Char">
    <w:name w:val="Char"/>
    <w:basedOn w:val="Normal"/>
    <w:rsid w:val="00CE312B"/>
    <w:pPr>
      <w:spacing w:after="160" w:line="240" w:lineRule="exact"/>
    </w:pPr>
    <w:rPr>
      <w:rFonts w:ascii="Verdana" w:hAnsi="Verdana"/>
    </w:rPr>
  </w:style>
  <w:style w:type="paragraph" w:styleId="BalloonText">
    <w:name w:val="Balloon Text"/>
    <w:basedOn w:val="Normal"/>
    <w:semiHidden/>
    <w:rsid w:val="00727F03"/>
    <w:rPr>
      <w:rFonts w:ascii="Tahoma" w:hAnsi="Tahoma" w:cs="Tahoma"/>
      <w:sz w:val="16"/>
      <w:szCs w:val="16"/>
    </w:rPr>
  </w:style>
  <w:style w:type="paragraph" w:styleId="Date">
    <w:name w:val="Date"/>
    <w:basedOn w:val="Normal"/>
    <w:next w:val="Normal"/>
    <w:rsid w:val="00F275D9"/>
  </w:style>
  <w:style w:type="paragraph" w:customStyle="1" w:styleId="Default">
    <w:name w:val="Default"/>
    <w:rsid w:val="0047775B"/>
    <w:pPr>
      <w:autoSpaceDE w:val="0"/>
      <w:autoSpaceDN w:val="0"/>
      <w:adjustRightInd w:val="0"/>
    </w:pPr>
    <w:rPr>
      <w:rFonts w:ascii="Arial" w:eastAsia="Calibri" w:hAnsi="Arial" w:cs="Arial"/>
      <w:color w:val="000000"/>
      <w:sz w:val="24"/>
      <w:szCs w:val="24"/>
      <w:lang w:eastAsia="en-US"/>
    </w:rPr>
  </w:style>
  <w:style w:type="numbering" w:customStyle="1" w:styleId="Style2">
    <w:name w:val="Style2"/>
    <w:rsid w:val="00AB4DDF"/>
    <w:pPr>
      <w:numPr>
        <w:numId w:val="4"/>
      </w:numPr>
    </w:pPr>
  </w:style>
  <w:style w:type="numbering" w:customStyle="1" w:styleId="Style1">
    <w:name w:val="Style1"/>
    <w:rsid w:val="00AB4DDF"/>
    <w:pPr>
      <w:numPr>
        <w:numId w:val="3"/>
      </w:numPr>
    </w:pPr>
  </w:style>
  <w:style w:type="numbering" w:customStyle="1" w:styleId="Style3">
    <w:name w:val="Style3"/>
    <w:rsid w:val="00CA78B0"/>
    <w:pPr>
      <w:numPr>
        <w:numId w:val="5"/>
      </w:numPr>
    </w:pPr>
  </w:style>
  <w:style w:type="character" w:customStyle="1" w:styleId="apple-style-span">
    <w:name w:val="apple-style-span"/>
    <w:basedOn w:val="DefaultParagraphFont"/>
    <w:rsid w:val="007828E6"/>
  </w:style>
  <w:style w:type="character" w:customStyle="1" w:styleId="apple-converted-space">
    <w:name w:val="apple-converted-space"/>
    <w:basedOn w:val="DefaultParagraphFont"/>
    <w:rsid w:val="007828E6"/>
  </w:style>
  <w:style w:type="character" w:styleId="CommentReference">
    <w:name w:val="annotation reference"/>
    <w:semiHidden/>
    <w:rsid w:val="00A05F12"/>
    <w:rPr>
      <w:sz w:val="16"/>
      <w:szCs w:val="16"/>
    </w:rPr>
  </w:style>
  <w:style w:type="paragraph" w:styleId="CommentText">
    <w:name w:val="annotation text"/>
    <w:basedOn w:val="Normal"/>
    <w:semiHidden/>
    <w:rsid w:val="00A05F12"/>
  </w:style>
  <w:style w:type="paragraph" w:styleId="CommentSubject">
    <w:name w:val="annotation subject"/>
    <w:basedOn w:val="CommentText"/>
    <w:next w:val="CommentText"/>
    <w:semiHidden/>
    <w:rsid w:val="00A05F12"/>
    <w:rPr>
      <w:b/>
      <w:bCs/>
    </w:rPr>
  </w:style>
  <w:style w:type="table" w:styleId="TableGrid">
    <w:name w:val="Table Grid"/>
    <w:basedOn w:val="TableNormal"/>
    <w:rsid w:val="00E35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3739"/>
    <w:pPr>
      <w:spacing w:before="100" w:beforeAutospacing="1" w:after="100" w:afterAutospacing="1"/>
    </w:pPr>
    <w:rPr>
      <w:sz w:val="24"/>
      <w:szCs w:val="24"/>
      <w:lang w:eastAsia="zh-TW"/>
    </w:rPr>
  </w:style>
  <w:style w:type="paragraph" w:styleId="ListParagraph">
    <w:name w:val="List Paragraph"/>
    <w:basedOn w:val="Normal"/>
    <w:uiPriority w:val="34"/>
    <w:qFormat/>
    <w:rsid w:val="00B27462"/>
    <w:pPr>
      <w:ind w:left="720"/>
    </w:pPr>
  </w:style>
</w:styles>
</file>

<file path=word/webSettings.xml><?xml version="1.0" encoding="utf-8"?>
<w:webSettings xmlns:r="http://schemas.openxmlformats.org/officeDocument/2006/relationships" xmlns:w="http://schemas.openxmlformats.org/wordprocessingml/2006/main">
  <w:divs>
    <w:div w:id="77605842">
      <w:bodyDiv w:val="1"/>
      <w:marLeft w:val="0"/>
      <w:marRight w:val="0"/>
      <w:marTop w:val="0"/>
      <w:marBottom w:val="0"/>
      <w:divBdr>
        <w:top w:val="none" w:sz="0" w:space="0" w:color="auto"/>
        <w:left w:val="none" w:sz="0" w:space="0" w:color="auto"/>
        <w:bottom w:val="none" w:sz="0" w:space="0" w:color="auto"/>
        <w:right w:val="none" w:sz="0" w:space="0" w:color="auto"/>
      </w:divBdr>
    </w:div>
    <w:div w:id="879513304">
      <w:bodyDiv w:val="1"/>
      <w:marLeft w:val="0"/>
      <w:marRight w:val="0"/>
      <w:marTop w:val="0"/>
      <w:marBottom w:val="0"/>
      <w:divBdr>
        <w:top w:val="none" w:sz="0" w:space="0" w:color="auto"/>
        <w:left w:val="none" w:sz="0" w:space="0" w:color="auto"/>
        <w:bottom w:val="none" w:sz="0" w:space="0" w:color="auto"/>
        <w:right w:val="none" w:sz="0" w:space="0" w:color="auto"/>
      </w:divBdr>
    </w:div>
    <w:div w:id="990672656">
      <w:bodyDiv w:val="1"/>
      <w:marLeft w:val="0"/>
      <w:marRight w:val="0"/>
      <w:marTop w:val="0"/>
      <w:marBottom w:val="0"/>
      <w:divBdr>
        <w:top w:val="none" w:sz="0" w:space="0" w:color="auto"/>
        <w:left w:val="none" w:sz="0" w:space="0" w:color="auto"/>
        <w:bottom w:val="none" w:sz="0" w:space="0" w:color="auto"/>
        <w:right w:val="none" w:sz="0" w:space="0" w:color="auto"/>
      </w:divBdr>
    </w:div>
    <w:div w:id="1097678182">
      <w:bodyDiv w:val="1"/>
      <w:marLeft w:val="0"/>
      <w:marRight w:val="0"/>
      <w:marTop w:val="0"/>
      <w:marBottom w:val="0"/>
      <w:divBdr>
        <w:top w:val="none" w:sz="0" w:space="0" w:color="auto"/>
        <w:left w:val="none" w:sz="0" w:space="0" w:color="auto"/>
        <w:bottom w:val="none" w:sz="0" w:space="0" w:color="auto"/>
        <w:right w:val="none" w:sz="0" w:space="0" w:color="auto"/>
      </w:divBdr>
    </w:div>
    <w:div w:id="1145272526">
      <w:bodyDiv w:val="1"/>
      <w:marLeft w:val="0"/>
      <w:marRight w:val="0"/>
      <w:marTop w:val="0"/>
      <w:marBottom w:val="0"/>
      <w:divBdr>
        <w:top w:val="none" w:sz="0" w:space="0" w:color="auto"/>
        <w:left w:val="none" w:sz="0" w:space="0" w:color="auto"/>
        <w:bottom w:val="none" w:sz="0" w:space="0" w:color="auto"/>
        <w:right w:val="none" w:sz="0" w:space="0" w:color="auto"/>
      </w:divBdr>
    </w:div>
    <w:div w:id="1180314288">
      <w:bodyDiv w:val="1"/>
      <w:marLeft w:val="0"/>
      <w:marRight w:val="0"/>
      <w:marTop w:val="0"/>
      <w:marBottom w:val="0"/>
      <w:divBdr>
        <w:top w:val="none" w:sz="0" w:space="0" w:color="auto"/>
        <w:left w:val="none" w:sz="0" w:space="0" w:color="auto"/>
        <w:bottom w:val="none" w:sz="0" w:space="0" w:color="auto"/>
        <w:right w:val="none" w:sz="0" w:space="0" w:color="auto"/>
      </w:divBdr>
    </w:div>
    <w:div w:id="18659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55A7-84A9-479B-BBE7-A342AC7D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1684</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HARRISONS HOLDINGS (MALAYSIA) BERHAD (194675-H)</vt:lpstr>
    </vt:vector>
  </TitlesOfParts>
  <Company>Swiss Gold</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HARRISONS HOLDINGS (MALAYSIA) BERHAD (194675-H)</dc:title>
  <dc:creator>Swiss Gold</dc:creator>
  <cp:lastModifiedBy>User</cp:lastModifiedBy>
  <cp:revision>5</cp:revision>
  <cp:lastPrinted>2016-03-11T07:58:00Z</cp:lastPrinted>
  <dcterms:created xsi:type="dcterms:W3CDTF">2016-03-22T16:26:00Z</dcterms:created>
  <dcterms:modified xsi:type="dcterms:W3CDTF">2016-03-24T09:36:00Z</dcterms:modified>
</cp:coreProperties>
</file>